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7776DB" w14:textId="77777777" w:rsidR="007D1E76" w:rsidRPr="00101390" w:rsidRDefault="00C928A1" w:rsidP="00F067C8">
      <w:pPr>
        <w:tabs>
          <w:tab w:val="left" w:leader="underscore" w:pos="9639"/>
        </w:tabs>
        <w:spacing w:after="0" w:line="240" w:lineRule="auto"/>
        <w:jc w:val="center"/>
        <w:rPr>
          <w:rFonts w:cs="Calibri"/>
          <w:b/>
          <w:sz w:val="24"/>
          <w:szCs w:val="24"/>
        </w:rPr>
      </w:pPr>
      <w:r>
        <w:fldChar w:fldCharType="begin"/>
      </w:r>
      <w:r>
        <w:instrText xml:space="preserve"> HYPERLINK "file:///C:/Users/acorona/lquiroz/AppData/Local/Microsoft/Windows/Temporary%20Internet%20Files/Content.Outlook/HBGSO9P3/MODELO%20CTA%202013.pptx" </w:instrText>
      </w:r>
      <w:r>
        <w:fldChar w:fldCharType="separate"/>
      </w:r>
      <w:r w:rsidR="007D1E76" w:rsidRPr="00101390">
        <w:rPr>
          <w:rStyle w:val="Hipervnculo"/>
          <w:rFonts w:cs="Calibri"/>
          <w:b/>
          <w:sz w:val="24"/>
          <w:szCs w:val="24"/>
        </w:rPr>
        <w:t>NOTAS DE GESTIÓN ADMINISTRATIVA</w:t>
      </w:r>
      <w:r>
        <w:rPr>
          <w:rStyle w:val="Hipervnculo"/>
          <w:rFonts w:cs="Calibri"/>
          <w:b/>
          <w:sz w:val="24"/>
          <w:szCs w:val="24"/>
        </w:rPr>
        <w:fldChar w:fldCharType="end"/>
      </w:r>
    </w:p>
    <w:p w14:paraId="1217A01B" w14:textId="34591E91" w:rsidR="007D1E76" w:rsidRPr="00E74967" w:rsidRDefault="007D1E76" w:rsidP="00F067C8">
      <w:pPr>
        <w:tabs>
          <w:tab w:val="left" w:leader="underscore" w:pos="9639"/>
        </w:tabs>
        <w:spacing w:after="0" w:line="240" w:lineRule="auto"/>
        <w:jc w:val="center"/>
        <w:rPr>
          <w:rFonts w:cs="Calibri"/>
        </w:rPr>
      </w:pPr>
    </w:p>
    <w:p w14:paraId="713110D4" w14:textId="77777777" w:rsidR="007D1E76" w:rsidRPr="00101390" w:rsidRDefault="007D1E76" w:rsidP="00CB41C4">
      <w:pPr>
        <w:tabs>
          <w:tab w:val="left" w:leader="underscore" w:pos="9639"/>
        </w:tabs>
        <w:spacing w:after="0" w:line="240" w:lineRule="auto"/>
        <w:jc w:val="both"/>
        <w:rPr>
          <w:rFonts w:cs="Calibri"/>
          <w:sz w:val="20"/>
          <w:szCs w:val="20"/>
        </w:rPr>
      </w:pPr>
      <w:r w:rsidRPr="00101390">
        <w:rPr>
          <w:rFonts w:cs="Calibri"/>
          <w:sz w:val="20"/>
          <w:szCs w:val="20"/>
        </w:rPr>
        <w:t>Los Estados Financieros de los entes públicos, proveen de información financiera a los principales usuarios de la misma, al</w:t>
      </w:r>
      <w:r w:rsidR="00E00323" w:rsidRPr="00101390">
        <w:rPr>
          <w:rFonts w:cs="Calibri"/>
          <w:sz w:val="20"/>
          <w:szCs w:val="20"/>
        </w:rPr>
        <w:t xml:space="preserve"> Congreso y a los ciudadanos.</w:t>
      </w:r>
    </w:p>
    <w:p w14:paraId="25F26DDB" w14:textId="08E57847" w:rsidR="007D1E76" w:rsidRPr="00101390" w:rsidRDefault="007D1E76" w:rsidP="00CB41C4">
      <w:pPr>
        <w:tabs>
          <w:tab w:val="left" w:leader="underscore" w:pos="9639"/>
        </w:tabs>
        <w:spacing w:after="0" w:line="240" w:lineRule="auto"/>
        <w:jc w:val="both"/>
        <w:rPr>
          <w:rFonts w:cs="Calibri"/>
          <w:sz w:val="20"/>
          <w:szCs w:val="20"/>
        </w:rPr>
      </w:pPr>
      <w:r w:rsidRPr="00101390">
        <w:rPr>
          <w:rFonts w:cs="Calibri"/>
          <w:sz w:val="20"/>
          <w:szCs w:val="20"/>
        </w:rPr>
        <w:t>El objetivo del presente documento es la revelación del contexto y de los aspectos económicos</w:t>
      </w:r>
      <w:r w:rsidR="00967DDA" w:rsidRPr="00101390">
        <w:rPr>
          <w:rFonts w:cs="Calibri"/>
          <w:sz w:val="20"/>
          <w:szCs w:val="20"/>
        </w:rPr>
        <w:t>-</w:t>
      </w:r>
      <w:r w:rsidRPr="00101390">
        <w:rPr>
          <w:rFonts w:cs="Calibri"/>
          <w:sz w:val="20"/>
          <w:szCs w:val="20"/>
        </w:rPr>
        <w:t>financieros más relevantes que influyeron en las decisiones del período, y que deberán ser considerados en la elaboración de los estados financieros para la mayor comprensión de los m</w:t>
      </w:r>
      <w:r w:rsidR="00E00323" w:rsidRPr="00101390">
        <w:rPr>
          <w:rFonts w:cs="Calibri"/>
          <w:sz w:val="20"/>
          <w:szCs w:val="20"/>
        </w:rPr>
        <w:t>ismos y sus particularidades.</w:t>
      </w:r>
    </w:p>
    <w:p w14:paraId="559642E6" w14:textId="7AD61893" w:rsidR="007D1E76" w:rsidRPr="00101390" w:rsidRDefault="007D1E76" w:rsidP="00CB41C4">
      <w:pPr>
        <w:tabs>
          <w:tab w:val="left" w:leader="underscore" w:pos="9639"/>
        </w:tabs>
        <w:spacing w:after="0" w:line="240" w:lineRule="auto"/>
        <w:jc w:val="both"/>
        <w:rPr>
          <w:rFonts w:cs="Calibri"/>
          <w:sz w:val="20"/>
          <w:szCs w:val="20"/>
        </w:rPr>
      </w:pPr>
      <w:r w:rsidRPr="00101390">
        <w:rPr>
          <w:rFonts w:cs="Calibri"/>
          <w:sz w:val="20"/>
          <w:szCs w:val="20"/>
        </w:rPr>
        <w:t xml:space="preserve">De esta manera, </w:t>
      </w:r>
      <w:r w:rsidR="00295B72" w:rsidRPr="00101390">
        <w:rPr>
          <w:rFonts w:cs="Calibri"/>
          <w:sz w:val="20"/>
          <w:szCs w:val="20"/>
        </w:rPr>
        <w:t>se informan y explican las condiciones relacionadas con la información financiera de cada período de gestión; además, de exponer aquellas políticas que podrían afectar la toma de decisiones en períodos posteriores.</w:t>
      </w:r>
      <w:r w:rsidR="00C93C67" w:rsidRPr="00101390">
        <w:rPr>
          <w:rFonts w:cs="Calibri"/>
          <w:sz w:val="20"/>
          <w:szCs w:val="20"/>
        </w:rPr>
        <w:t xml:space="preserve"> (</w:t>
      </w:r>
      <w:r w:rsidR="00C93C67" w:rsidRPr="00101390">
        <w:rPr>
          <w:rFonts w:cs="Calibri"/>
          <w:color w:val="2F5496" w:themeColor="accent5" w:themeShade="BF"/>
          <w:sz w:val="20"/>
          <w:szCs w:val="20"/>
        </w:rPr>
        <w:t>DOF 06-12-2022</w:t>
      </w:r>
      <w:r w:rsidR="00C93C67" w:rsidRPr="00101390">
        <w:rPr>
          <w:rFonts w:cs="Calibri"/>
          <w:sz w:val="20"/>
          <w:szCs w:val="20"/>
        </w:rPr>
        <w:t>)</w:t>
      </w:r>
    </w:p>
    <w:p w14:paraId="009160FA" w14:textId="7F828C13" w:rsidR="007D1E76" w:rsidRPr="00101390" w:rsidRDefault="007D1E76" w:rsidP="00CB41C4">
      <w:pPr>
        <w:pStyle w:val="Prrafodelista"/>
        <w:tabs>
          <w:tab w:val="left" w:leader="underscore" w:pos="9639"/>
        </w:tabs>
        <w:spacing w:after="0" w:line="240" w:lineRule="auto"/>
        <w:jc w:val="both"/>
        <w:rPr>
          <w:rFonts w:cs="Calibri"/>
          <w:sz w:val="20"/>
          <w:szCs w:val="20"/>
        </w:rPr>
      </w:pPr>
    </w:p>
    <w:p w14:paraId="64420E1E" w14:textId="4E44B4A8" w:rsidR="007D1E76" w:rsidRPr="00101390" w:rsidRDefault="007D1E76" w:rsidP="00CB41C4">
      <w:pPr>
        <w:pStyle w:val="Prrafodelista"/>
        <w:numPr>
          <w:ilvl w:val="0"/>
          <w:numId w:val="1"/>
        </w:numPr>
        <w:tabs>
          <w:tab w:val="left" w:leader="underscore" w:pos="9639"/>
        </w:tabs>
        <w:spacing w:after="0" w:line="240" w:lineRule="auto"/>
        <w:jc w:val="both"/>
        <w:rPr>
          <w:rFonts w:cs="Calibri"/>
          <w:sz w:val="20"/>
          <w:szCs w:val="20"/>
        </w:rPr>
      </w:pPr>
      <w:r w:rsidRPr="00101390">
        <w:rPr>
          <w:rFonts w:cs="Calibri"/>
          <w:sz w:val="20"/>
          <w:szCs w:val="20"/>
        </w:rPr>
        <w:t>Las notas de gestión administrativa deben contener los siguientes puntos:</w:t>
      </w:r>
    </w:p>
    <w:p w14:paraId="552470B0" w14:textId="6EC8F965" w:rsidR="007D1E76" w:rsidRPr="00101390" w:rsidRDefault="007D1E76" w:rsidP="00CB41C4">
      <w:pPr>
        <w:tabs>
          <w:tab w:val="left" w:leader="underscore" w:pos="9639"/>
        </w:tabs>
        <w:spacing w:after="0" w:line="240" w:lineRule="auto"/>
        <w:jc w:val="both"/>
        <w:rPr>
          <w:rFonts w:cs="Calibri"/>
          <w:sz w:val="20"/>
          <w:szCs w:val="20"/>
        </w:rPr>
      </w:pPr>
    </w:p>
    <w:sdt>
      <w:sdtPr>
        <w:rPr>
          <w:rFonts w:ascii="Calibri" w:eastAsia="Calibri" w:hAnsi="Calibri" w:cs="Times New Roman"/>
          <w:color w:val="auto"/>
          <w:sz w:val="20"/>
          <w:szCs w:val="20"/>
          <w:lang w:val="es-ES" w:eastAsia="en-US"/>
        </w:rPr>
        <w:id w:val="-191922827"/>
        <w:docPartObj>
          <w:docPartGallery w:val="Table of Contents"/>
          <w:docPartUnique/>
        </w:docPartObj>
      </w:sdtPr>
      <w:sdtEndPr>
        <w:rPr>
          <w:b/>
          <w:bCs/>
          <w:sz w:val="22"/>
          <w:szCs w:val="22"/>
        </w:rPr>
      </w:sdtEndPr>
      <w:sdtContent>
        <w:p w14:paraId="68C75D59" w14:textId="5B2ECB74" w:rsidR="00F46719" w:rsidRPr="00101390" w:rsidRDefault="00F46719">
          <w:pPr>
            <w:pStyle w:val="TtulodeTDC"/>
            <w:rPr>
              <w:sz w:val="20"/>
              <w:szCs w:val="20"/>
              <w:lang w:val="es-ES"/>
            </w:rPr>
          </w:pPr>
          <w:r w:rsidRPr="00101390">
            <w:rPr>
              <w:sz w:val="20"/>
              <w:szCs w:val="20"/>
              <w:lang w:val="es-ES"/>
            </w:rPr>
            <w:t>Contenido</w:t>
          </w:r>
        </w:p>
        <w:p w14:paraId="6FC310E2" w14:textId="77777777" w:rsidR="00516100" w:rsidRPr="00516100" w:rsidRDefault="00516100" w:rsidP="00516100">
          <w:pPr>
            <w:rPr>
              <w:lang w:val="es-ES" w:eastAsia="es-MX"/>
            </w:rPr>
          </w:pPr>
        </w:p>
        <w:p w14:paraId="1A37D15B" w14:textId="1D0B559D"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 xml:space="preserve">1. </w:t>
            </w:r>
            <w:r w:rsidR="005F51CC" w:rsidRPr="00101390">
              <w:rPr>
                <w:rStyle w:val="Hipervnculo"/>
                <w:rFonts w:cstheme="minorHAnsi"/>
                <w:b/>
                <w:noProof/>
                <w:sz w:val="20"/>
                <w:szCs w:val="20"/>
              </w:rPr>
              <w:t>Autorización</w:t>
            </w:r>
            <w:r w:rsidR="005F51CC" w:rsidRPr="005C0188">
              <w:rPr>
                <w:rStyle w:val="Hipervnculo"/>
                <w:rFonts w:cstheme="minorHAnsi"/>
                <w:b/>
                <w:noProof/>
              </w:rPr>
              <w:t xml:space="preserve">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B053C2">
              <w:rPr>
                <w:noProof/>
                <w:webHidden/>
              </w:rPr>
              <w:t>2</w:t>
            </w:r>
            <w:r w:rsidR="005F51CC">
              <w:rPr>
                <w:noProof/>
                <w:webHidden/>
              </w:rPr>
              <w:fldChar w:fldCharType="end"/>
            </w:r>
          </w:hyperlink>
        </w:p>
        <w:p w14:paraId="6A6756CA" w14:textId="5428BD0E" w:rsidR="005F51CC" w:rsidRDefault="00C928A1">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005F51CC" w:rsidRPr="005C0188">
              <w:rPr>
                <w:rStyle w:val="Hipervnculo"/>
                <w:rFonts w:cstheme="minorHAnsi"/>
                <w:b/>
                <w:noProof/>
              </w:rPr>
              <w:t>2. Panorama Económico y Financiero</w:t>
            </w:r>
            <w:r w:rsidR="005F51CC">
              <w:rPr>
                <w:noProof/>
                <w:webHidden/>
              </w:rPr>
              <w:tab/>
            </w:r>
            <w:r w:rsidR="005F51CC">
              <w:rPr>
                <w:noProof/>
                <w:webHidden/>
              </w:rPr>
              <w:fldChar w:fldCharType="begin"/>
            </w:r>
            <w:r w:rsidR="005F51CC">
              <w:rPr>
                <w:noProof/>
                <w:webHidden/>
              </w:rPr>
              <w:instrText xml:space="preserve"> PAGEREF _Toc161472867 \h </w:instrText>
            </w:r>
            <w:r w:rsidR="005F51CC">
              <w:rPr>
                <w:noProof/>
                <w:webHidden/>
              </w:rPr>
            </w:r>
            <w:r w:rsidR="005F51CC">
              <w:rPr>
                <w:noProof/>
                <w:webHidden/>
              </w:rPr>
              <w:fldChar w:fldCharType="separate"/>
            </w:r>
            <w:r w:rsidR="00B053C2">
              <w:rPr>
                <w:noProof/>
                <w:webHidden/>
              </w:rPr>
              <w:t>2</w:t>
            </w:r>
            <w:r w:rsidR="005F51CC">
              <w:rPr>
                <w:noProof/>
                <w:webHidden/>
              </w:rPr>
              <w:fldChar w:fldCharType="end"/>
            </w:r>
          </w:hyperlink>
        </w:p>
        <w:p w14:paraId="19796F35" w14:textId="77F3445E" w:rsidR="005F51CC" w:rsidRDefault="00C928A1">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005F51CC" w:rsidRPr="005C0188">
              <w:rPr>
                <w:rStyle w:val="Hipervnculo"/>
                <w:rFonts w:cstheme="minorHAnsi"/>
                <w:b/>
                <w:noProof/>
              </w:rPr>
              <w:t>3. Organización y Objeto Social:</w:t>
            </w:r>
            <w:r w:rsidR="005F51CC">
              <w:rPr>
                <w:noProof/>
                <w:webHidden/>
              </w:rPr>
              <w:tab/>
            </w:r>
            <w:r w:rsidR="005F51CC">
              <w:rPr>
                <w:noProof/>
                <w:webHidden/>
              </w:rPr>
              <w:fldChar w:fldCharType="begin"/>
            </w:r>
            <w:r w:rsidR="005F51CC">
              <w:rPr>
                <w:noProof/>
                <w:webHidden/>
              </w:rPr>
              <w:instrText xml:space="preserve"> PAGEREF _Toc161472868 \h </w:instrText>
            </w:r>
            <w:r w:rsidR="005F51CC">
              <w:rPr>
                <w:noProof/>
                <w:webHidden/>
              </w:rPr>
            </w:r>
            <w:r w:rsidR="005F51CC">
              <w:rPr>
                <w:noProof/>
                <w:webHidden/>
              </w:rPr>
              <w:fldChar w:fldCharType="separate"/>
            </w:r>
            <w:r w:rsidR="00B053C2">
              <w:rPr>
                <w:noProof/>
                <w:webHidden/>
              </w:rPr>
              <w:t>2</w:t>
            </w:r>
            <w:r w:rsidR="005F51CC">
              <w:rPr>
                <w:noProof/>
                <w:webHidden/>
              </w:rPr>
              <w:fldChar w:fldCharType="end"/>
            </w:r>
          </w:hyperlink>
        </w:p>
        <w:p w14:paraId="62AC0657" w14:textId="45278940" w:rsidR="005F51CC" w:rsidRDefault="00C928A1">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005F51CC" w:rsidRPr="005C0188">
              <w:rPr>
                <w:rStyle w:val="Hipervnculo"/>
                <w:rFonts w:cstheme="minorHAnsi"/>
                <w:b/>
                <w:noProof/>
              </w:rPr>
              <w:t>4. Bases de Preparación de los Estados Financieros:</w:t>
            </w:r>
            <w:r w:rsidR="005F51CC">
              <w:rPr>
                <w:noProof/>
                <w:webHidden/>
              </w:rPr>
              <w:tab/>
            </w:r>
            <w:r w:rsidR="005F51CC">
              <w:rPr>
                <w:noProof/>
                <w:webHidden/>
              </w:rPr>
              <w:fldChar w:fldCharType="begin"/>
            </w:r>
            <w:r w:rsidR="005F51CC">
              <w:rPr>
                <w:noProof/>
                <w:webHidden/>
              </w:rPr>
              <w:instrText xml:space="preserve"> PAGEREF _Toc161472869 \h </w:instrText>
            </w:r>
            <w:r w:rsidR="005F51CC">
              <w:rPr>
                <w:noProof/>
                <w:webHidden/>
              </w:rPr>
            </w:r>
            <w:r w:rsidR="005F51CC">
              <w:rPr>
                <w:noProof/>
                <w:webHidden/>
              </w:rPr>
              <w:fldChar w:fldCharType="separate"/>
            </w:r>
            <w:r w:rsidR="00B053C2">
              <w:rPr>
                <w:noProof/>
                <w:webHidden/>
              </w:rPr>
              <w:t>3</w:t>
            </w:r>
            <w:r w:rsidR="005F51CC">
              <w:rPr>
                <w:noProof/>
                <w:webHidden/>
              </w:rPr>
              <w:fldChar w:fldCharType="end"/>
            </w:r>
          </w:hyperlink>
        </w:p>
        <w:p w14:paraId="7C7C1962" w14:textId="7569E89F" w:rsidR="005F51CC" w:rsidRDefault="00C928A1">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005F51CC" w:rsidRPr="005C0188">
              <w:rPr>
                <w:rStyle w:val="Hipervnculo"/>
                <w:rFonts w:cstheme="minorHAnsi"/>
                <w:b/>
                <w:noProof/>
              </w:rPr>
              <w:t>5. Políticas de Contabilidad Significativas:</w:t>
            </w:r>
            <w:r w:rsidR="005F51CC">
              <w:rPr>
                <w:noProof/>
                <w:webHidden/>
              </w:rPr>
              <w:tab/>
            </w:r>
            <w:r w:rsidR="005F51CC">
              <w:rPr>
                <w:noProof/>
                <w:webHidden/>
              </w:rPr>
              <w:fldChar w:fldCharType="begin"/>
            </w:r>
            <w:r w:rsidR="005F51CC">
              <w:rPr>
                <w:noProof/>
                <w:webHidden/>
              </w:rPr>
              <w:instrText xml:space="preserve"> PAGEREF _Toc161472870 \h </w:instrText>
            </w:r>
            <w:r w:rsidR="005F51CC">
              <w:rPr>
                <w:noProof/>
                <w:webHidden/>
              </w:rPr>
            </w:r>
            <w:r w:rsidR="005F51CC">
              <w:rPr>
                <w:noProof/>
                <w:webHidden/>
              </w:rPr>
              <w:fldChar w:fldCharType="separate"/>
            </w:r>
            <w:r w:rsidR="00B053C2">
              <w:rPr>
                <w:noProof/>
                <w:webHidden/>
              </w:rPr>
              <w:t>4</w:t>
            </w:r>
            <w:r w:rsidR="005F51CC">
              <w:rPr>
                <w:noProof/>
                <w:webHidden/>
              </w:rPr>
              <w:fldChar w:fldCharType="end"/>
            </w:r>
          </w:hyperlink>
        </w:p>
        <w:p w14:paraId="3FE6C661" w14:textId="3433CD09" w:rsidR="005F51CC" w:rsidRDefault="00C928A1">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005F51CC" w:rsidRPr="005C0188">
              <w:rPr>
                <w:rStyle w:val="Hipervnculo"/>
                <w:rFonts w:cstheme="minorHAnsi"/>
                <w:b/>
                <w:noProof/>
              </w:rPr>
              <w:t>6. Posición en Moneda Extranjera y Protección por Riesgo Cambiario:</w:t>
            </w:r>
            <w:r w:rsidR="005F51CC">
              <w:rPr>
                <w:noProof/>
                <w:webHidden/>
              </w:rPr>
              <w:tab/>
            </w:r>
            <w:r w:rsidR="005F51CC">
              <w:rPr>
                <w:noProof/>
                <w:webHidden/>
              </w:rPr>
              <w:fldChar w:fldCharType="begin"/>
            </w:r>
            <w:r w:rsidR="005F51CC">
              <w:rPr>
                <w:noProof/>
                <w:webHidden/>
              </w:rPr>
              <w:instrText xml:space="preserve"> PAGEREF _Toc161472871 \h </w:instrText>
            </w:r>
            <w:r w:rsidR="005F51CC">
              <w:rPr>
                <w:noProof/>
                <w:webHidden/>
              </w:rPr>
            </w:r>
            <w:r w:rsidR="005F51CC">
              <w:rPr>
                <w:noProof/>
                <w:webHidden/>
              </w:rPr>
              <w:fldChar w:fldCharType="separate"/>
            </w:r>
            <w:r w:rsidR="00B053C2">
              <w:rPr>
                <w:noProof/>
                <w:webHidden/>
              </w:rPr>
              <w:t>5</w:t>
            </w:r>
            <w:r w:rsidR="005F51CC">
              <w:rPr>
                <w:noProof/>
                <w:webHidden/>
              </w:rPr>
              <w:fldChar w:fldCharType="end"/>
            </w:r>
          </w:hyperlink>
        </w:p>
        <w:p w14:paraId="135541CC" w14:textId="06594711" w:rsidR="005F51CC" w:rsidRDefault="00C928A1">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005F51CC" w:rsidRPr="005C0188">
              <w:rPr>
                <w:rStyle w:val="Hipervnculo"/>
                <w:rFonts w:cstheme="minorHAnsi"/>
                <w:b/>
                <w:noProof/>
              </w:rPr>
              <w:t>7. Reporte Analítico del Activo:</w:t>
            </w:r>
            <w:r w:rsidR="005F51CC">
              <w:rPr>
                <w:noProof/>
                <w:webHidden/>
              </w:rPr>
              <w:tab/>
            </w:r>
            <w:r w:rsidR="005F51CC">
              <w:rPr>
                <w:noProof/>
                <w:webHidden/>
              </w:rPr>
              <w:fldChar w:fldCharType="begin"/>
            </w:r>
            <w:r w:rsidR="005F51CC">
              <w:rPr>
                <w:noProof/>
                <w:webHidden/>
              </w:rPr>
              <w:instrText xml:space="preserve"> PAGEREF _Toc161472872 \h </w:instrText>
            </w:r>
            <w:r w:rsidR="005F51CC">
              <w:rPr>
                <w:noProof/>
                <w:webHidden/>
              </w:rPr>
            </w:r>
            <w:r w:rsidR="005F51CC">
              <w:rPr>
                <w:noProof/>
                <w:webHidden/>
              </w:rPr>
              <w:fldChar w:fldCharType="separate"/>
            </w:r>
            <w:r w:rsidR="00B053C2">
              <w:rPr>
                <w:noProof/>
                <w:webHidden/>
              </w:rPr>
              <w:t>5</w:t>
            </w:r>
            <w:r w:rsidR="005F51CC">
              <w:rPr>
                <w:noProof/>
                <w:webHidden/>
              </w:rPr>
              <w:fldChar w:fldCharType="end"/>
            </w:r>
          </w:hyperlink>
        </w:p>
        <w:p w14:paraId="48C9D852" w14:textId="5DDCB4F7" w:rsidR="005F51CC" w:rsidRDefault="00C928A1">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005F51CC" w:rsidRPr="005C0188">
              <w:rPr>
                <w:rStyle w:val="Hipervnculo"/>
                <w:rFonts w:cstheme="minorHAnsi"/>
                <w:b/>
                <w:noProof/>
              </w:rPr>
              <w:t>8. Fideicomisos, Mandatos y Análogos:</w:t>
            </w:r>
            <w:r w:rsidR="005F51CC">
              <w:rPr>
                <w:noProof/>
                <w:webHidden/>
              </w:rPr>
              <w:tab/>
            </w:r>
            <w:r w:rsidR="005F51CC">
              <w:rPr>
                <w:noProof/>
                <w:webHidden/>
              </w:rPr>
              <w:fldChar w:fldCharType="begin"/>
            </w:r>
            <w:r w:rsidR="005F51CC">
              <w:rPr>
                <w:noProof/>
                <w:webHidden/>
              </w:rPr>
              <w:instrText xml:space="preserve"> PAGEREF _Toc161472873 \h </w:instrText>
            </w:r>
            <w:r w:rsidR="005F51CC">
              <w:rPr>
                <w:noProof/>
                <w:webHidden/>
              </w:rPr>
            </w:r>
            <w:r w:rsidR="005F51CC">
              <w:rPr>
                <w:noProof/>
                <w:webHidden/>
              </w:rPr>
              <w:fldChar w:fldCharType="separate"/>
            </w:r>
            <w:r w:rsidR="00B053C2">
              <w:rPr>
                <w:noProof/>
                <w:webHidden/>
              </w:rPr>
              <w:t>5</w:t>
            </w:r>
            <w:r w:rsidR="005F51CC">
              <w:rPr>
                <w:noProof/>
                <w:webHidden/>
              </w:rPr>
              <w:fldChar w:fldCharType="end"/>
            </w:r>
          </w:hyperlink>
        </w:p>
        <w:p w14:paraId="027C97E3" w14:textId="6F133564" w:rsidR="005F51CC" w:rsidRDefault="00C928A1">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005F51CC" w:rsidRPr="005C0188">
              <w:rPr>
                <w:rStyle w:val="Hipervnculo"/>
                <w:rFonts w:cstheme="minorHAnsi"/>
                <w:b/>
                <w:noProof/>
              </w:rPr>
              <w:t>9. Reporte de la Recaudación:</w:t>
            </w:r>
            <w:r w:rsidR="005F51CC">
              <w:rPr>
                <w:noProof/>
                <w:webHidden/>
              </w:rPr>
              <w:tab/>
            </w:r>
            <w:r w:rsidR="005F51CC">
              <w:rPr>
                <w:noProof/>
                <w:webHidden/>
              </w:rPr>
              <w:fldChar w:fldCharType="begin"/>
            </w:r>
            <w:r w:rsidR="005F51CC">
              <w:rPr>
                <w:noProof/>
                <w:webHidden/>
              </w:rPr>
              <w:instrText xml:space="preserve"> PAGEREF _Toc161472874 \h </w:instrText>
            </w:r>
            <w:r w:rsidR="005F51CC">
              <w:rPr>
                <w:noProof/>
                <w:webHidden/>
              </w:rPr>
            </w:r>
            <w:r w:rsidR="005F51CC">
              <w:rPr>
                <w:noProof/>
                <w:webHidden/>
              </w:rPr>
              <w:fldChar w:fldCharType="separate"/>
            </w:r>
            <w:r w:rsidR="00B053C2">
              <w:rPr>
                <w:noProof/>
                <w:webHidden/>
              </w:rPr>
              <w:t>5</w:t>
            </w:r>
            <w:r w:rsidR="005F51CC">
              <w:rPr>
                <w:noProof/>
                <w:webHidden/>
              </w:rPr>
              <w:fldChar w:fldCharType="end"/>
            </w:r>
          </w:hyperlink>
        </w:p>
        <w:p w14:paraId="00DB87A1" w14:textId="0E5C6D6B" w:rsidR="005F51CC" w:rsidRDefault="00C928A1">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005F51CC" w:rsidRPr="005C0188">
              <w:rPr>
                <w:rStyle w:val="Hipervnculo"/>
                <w:rFonts w:cstheme="minorHAnsi"/>
                <w:b/>
                <w:noProof/>
              </w:rPr>
              <w:t>10. Información sobre la Deuda y el Reporte Analítico de la Deuda:</w:t>
            </w:r>
            <w:r w:rsidR="005F51CC">
              <w:rPr>
                <w:noProof/>
                <w:webHidden/>
              </w:rPr>
              <w:tab/>
            </w:r>
            <w:r w:rsidR="005F51CC">
              <w:rPr>
                <w:noProof/>
                <w:webHidden/>
              </w:rPr>
              <w:fldChar w:fldCharType="begin"/>
            </w:r>
            <w:r w:rsidR="005F51CC">
              <w:rPr>
                <w:noProof/>
                <w:webHidden/>
              </w:rPr>
              <w:instrText xml:space="preserve"> PAGEREF _Toc161472875 \h </w:instrText>
            </w:r>
            <w:r w:rsidR="005F51CC">
              <w:rPr>
                <w:noProof/>
                <w:webHidden/>
              </w:rPr>
            </w:r>
            <w:r w:rsidR="005F51CC">
              <w:rPr>
                <w:noProof/>
                <w:webHidden/>
              </w:rPr>
              <w:fldChar w:fldCharType="separate"/>
            </w:r>
            <w:r w:rsidR="00B053C2">
              <w:rPr>
                <w:noProof/>
                <w:webHidden/>
              </w:rPr>
              <w:t>7</w:t>
            </w:r>
            <w:r w:rsidR="005F51CC">
              <w:rPr>
                <w:noProof/>
                <w:webHidden/>
              </w:rPr>
              <w:fldChar w:fldCharType="end"/>
            </w:r>
          </w:hyperlink>
        </w:p>
        <w:p w14:paraId="00EEECC2" w14:textId="7F2B838A" w:rsidR="005F51CC" w:rsidRDefault="00C928A1">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005F51CC" w:rsidRPr="005C0188">
              <w:rPr>
                <w:rStyle w:val="Hipervnculo"/>
                <w:rFonts w:cstheme="minorHAnsi"/>
                <w:b/>
                <w:noProof/>
              </w:rPr>
              <w:t>11. Calificaciones otorgadas:</w:t>
            </w:r>
            <w:r w:rsidR="005F51CC">
              <w:rPr>
                <w:noProof/>
                <w:webHidden/>
              </w:rPr>
              <w:tab/>
            </w:r>
            <w:r w:rsidR="005F51CC">
              <w:rPr>
                <w:noProof/>
                <w:webHidden/>
              </w:rPr>
              <w:fldChar w:fldCharType="begin"/>
            </w:r>
            <w:r w:rsidR="005F51CC">
              <w:rPr>
                <w:noProof/>
                <w:webHidden/>
              </w:rPr>
              <w:instrText xml:space="preserve"> PAGEREF _Toc161472876 \h </w:instrText>
            </w:r>
            <w:r w:rsidR="005F51CC">
              <w:rPr>
                <w:noProof/>
                <w:webHidden/>
              </w:rPr>
            </w:r>
            <w:r w:rsidR="005F51CC">
              <w:rPr>
                <w:noProof/>
                <w:webHidden/>
              </w:rPr>
              <w:fldChar w:fldCharType="separate"/>
            </w:r>
            <w:r w:rsidR="00B053C2">
              <w:rPr>
                <w:noProof/>
                <w:webHidden/>
              </w:rPr>
              <w:t>7</w:t>
            </w:r>
            <w:r w:rsidR="005F51CC">
              <w:rPr>
                <w:noProof/>
                <w:webHidden/>
              </w:rPr>
              <w:fldChar w:fldCharType="end"/>
            </w:r>
          </w:hyperlink>
        </w:p>
        <w:p w14:paraId="68FD7A9A" w14:textId="2CE0C7FE" w:rsidR="005F51CC" w:rsidRDefault="00C928A1">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005F51CC" w:rsidRPr="005C0188">
              <w:rPr>
                <w:rStyle w:val="Hipervnculo"/>
                <w:rFonts w:cstheme="minorHAnsi"/>
                <w:b/>
                <w:noProof/>
              </w:rPr>
              <w:t>12. Proceso de Mejora:</w:t>
            </w:r>
            <w:r w:rsidR="005F51CC">
              <w:rPr>
                <w:noProof/>
                <w:webHidden/>
              </w:rPr>
              <w:tab/>
            </w:r>
            <w:r w:rsidR="005F51CC">
              <w:rPr>
                <w:noProof/>
                <w:webHidden/>
              </w:rPr>
              <w:fldChar w:fldCharType="begin"/>
            </w:r>
            <w:r w:rsidR="005F51CC">
              <w:rPr>
                <w:noProof/>
                <w:webHidden/>
              </w:rPr>
              <w:instrText xml:space="preserve"> PAGEREF _Toc161472877 \h </w:instrText>
            </w:r>
            <w:r w:rsidR="005F51CC">
              <w:rPr>
                <w:noProof/>
                <w:webHidden/>
              </w:rPr>
            </w:r>
            <w:r w:rsidR="005F51CC">
              <w:rPr>
                <w:noProof/>
                <w:webHidden/>
              </w:rPr>
              <w:fldChar w:fldCharType="separate"/>
            </w:r>
            <w:r w:rsidR="00B053C2">
              <w:rPr>
                <w:noProof/>
                <w:webHidden/>
              </w:rPr>
              <w:t>7</w:t>
            </w:r>
            <w:r w:rsidR="005F51CC">
              <w:rPr>
                <w:noProof/>
                <w:webHidden/>
              </w:rPr>
              <w:fldChar w:fldCharType="end"/>
            </w:r>
          </w:hyperlink>
        </w:p>
        <w:p w14:paraId="5F55527F" w14:textId="527A5CEA" w:rsidR="005F51CC" w:rsidRDefault="00C928A1">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005F51CC" w:rsidRPr="005C0188">
              <w:rPr>
                <w:rStyle w:val="Hipervnculo"/>
                <w:rFonts w:cstheme="minorHAnsi"/>
                <w:b/>
                <w:noProof/>
              </w:rPr>
              <w:t>13. Información por Segmentos:</w:t>
            </w:r>
            <w:r w:rsidR="005F51CC">
              <w:rPr>
                <w:noProof/>
                <w:webHidden/>
              </w:rPr>
              <w:tab/>
            </w:r>
            <w:r w:rsidR="005F51CC">
              <w:rPr>
                <w:noProof/>
                <w:webHidden/>
              </w:rPr>
              <w:fldChar w:fldCharType="begin"/>
            </w:r>
            <w:r w:rsidR="005F51CC">
              <w:rPr>
                <w:noProof/>
                <w:webHidden/>
              </w:rPr>
              <w:instrText xml:space="preserve"> PAGEREF _Toc161472878 \h </w:instrText>
            </w:r>
            <w:r w:rsidR="005F51CC">
              <w:rPr>
                <w:noProof/>
                <w:webHidden/>
              </w:rPr>
            </w:r>
            <w:r w:rsidR="005F51CC">
              <w:rPr>
                <w:noProof/>
                <w:webHidden/>
              </w:rPr>
              <w:fldChar w:fldCharType="separate"/>
            </w:r>
            <w:r w:rsidR="00B053C2">
              <w:rPr>
                <w:noProof/>
                <w:webHidden/>
              </w:rPr>
              <w:t>7</w:t>
            </w:r>
            <w:r w:rsidR="005F51CC">
              <w:rPr>
                <w:noProof/>
                <w:webHidden/>
              </w:rPr>
              <w:fldChar w:fldCharType="end"/>
            </w:r>
          </w:hyperlink>
        </w:p>
        <w:p w14:paraId="674ABB69" w14:textId="7086AD9C" w:rsidR="005F51CC" w:rsidRDefault="00C928A1">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005F51CC" w:rsidRPr="005C0188">
              <w:rPr>
                <w:rStyle w:val="Hipervnculo"/>
                <w:rFonts w:cstheme="minorHAnsi"/>
                <w:b/>
                <w:noProof/>
              </w:rPr>
              <w:t>14. Eventos Posteriores al Cierre:</w:t>
            </w:r>
            <w:r w:rsidR="005F51CC">
              <w:rPr>
                <w:noProof/>
                <w:webHidden/>
              </w:rPr>
              <w:tab/>
            </w:r>
            <w:r w:rsidR="005F51CC">
              <w:rPr>
                <w:noProof/>
                <w:webHidden/>
              </w:rPr>
              <w:fldChar w:fldCharType="begin"/>
            </w:r>
            <w:r w:rsidR="005F51CC">
              <w:rPr>
                <w:noProof/>
                <w:webHidden/>
              </w:rPr>
              <w:instrText xml:space="preserve"> PAGEREF _Toc161472879 \h </w:instrText>
            </w:r>
            <w:r w:rsidR="005F51CC">
              <w:rPr>
                <w:noProof/>
                <w:webHidden/>
              </w:rPr>
            </w:r>
            <w:r w:rsidR="005F51CC">
              <w:rPr>
                <w:noProof/>
                <w:webHidden/>
              </w:rPr>
              <w:fldChar w:fldCharType="separate"/>
            </w:r>
            <w:r w:rsidR="00B053C2">
              <w:rPr>
                <w:noProof/>
                <w:webHidden/>
              </w:rPr>
              <w:t>8</w:t>
            </w:r>
            <w:r w:rsidR="005F51CC">
              <w:rPr>
                <w:noProof/>
                <w:webHidden/>
              </w:rPr>
              <w:fldChar w:fldCharType="end"/>
            </w:r>
          </w:hyperlink>
        </w:p>
        <w:p w14:paraId="39048CDA" w14:textId="5AD0C96E" w:rsidR="005F51CC" w:rsidRDefault="00C928A1">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005F51CC" w:rsidRPr="005C0188">
              <w:rPr>
                <w:rStyle w:val="Hipervnculo"/>
                <w:rFonts w:cstheme="minorHAnsi"/>
                <w:b/>
                <w:noProof/>
              </w:rPr>
              <w:t>15. Partes Relacionadas:</w:t>
            </w:r>
            <w:r w:rsidR="005F51CC">
              <w:rPr>
                <w:noProof/>
                <w:webHidden/>
              </w:rPr>
              <w:tab/>
            </w:r>
            <w:r w:rsidR="005F51CC">
              <w:rPr>
                <w:noProof/>
                <w:webHidden/>
              </w:rPr>
              <w:fldChar w:fldCharType="begin"/>
            </w:r>
            <w:r w:rsidR="005F51CC">
              <w:rPr>
                <w:noProof/>
                <w:webHidden/>
              </w:rPr>
              <w:instrText xml:space="preserve"> PAGEREF _Toc161472880 \h </w:instrText>
            </w:r>
            <w:r w:rsidR="005F51CC">
              <w:rPr>
                <w:noProof/>
                <w:webHidden/>
              </w:rPr>
            </w:r>
            <w:r w:rsidR="005F51CC">
              <w:rPr>
                <w:noProof/>
                <w:webHidden/>
              </w:rPr>
              <w:fldChar w:fldCharType="separate"/>
            </w:r>
            <w:r w:rsidR="00B053C2">
              <w:rPr>
                <w:noProof/>
                <w:webHidden/>
              </w:rPr>
              <w:t>8</w:t>
            </w:r>
            <w:r w:rsidR="005F51CC">
              <w:rPr>
                <w:noProof/>
                <w:webHidden/>
              </w:rPr>
              <w:fldChar w:fldCharType="end"/>
            </w:r>
          </w:hyperlink>
        </w:p>
        <w:p w14:paraId="7E9C5BA3" w14:textId="2249A661" w:rsidR="005F51CC" w:rsidRDefault="00C928A1">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005F51CC" w:rsidRPr="005C0188">
              <w:rPr>
                <w:rStyle w:val="Hipervnculo"/>
                <w:rFonts w:cstheme="minorHAnsi"/>
                <w:b/>
                <w:noProof/>
              </w:rPr>
              <w:t>16. Responsabilidad Sobre la Presentación Razonable de la Información Contable:</w:t>
            </w:r>
            <w:r w:rsidR="005F51CC">
              <w:rPr>
                <w:noProof/>
                <w:webHidden/>
              </w:rPr>
              <w:tab/>
            </w:r>
            <w:r w:rsidR="005F51CC">
              <w:rPr>
                <w:noProof/>
                <w:webHidden/>
              </w:rPr>
              <w:fldChar w:fldCharType="begin"/>
            </w:r>
            <w:r w:rsidR="005F51CC">
              <w:rPr>
                <w:noProof/>
                <w:webHidden/>
              </w:rPr>
              <w:instrText xml:space="preserve"> PAGEREF _Toc161472881 \h </w:instrText>
            </w:r>
            <w:r w:rsidR="005F51CC">
              <w:rPr>
                <w:noProof/>
                <w:webHidden/>
              </w:rPr>
            </w:r>
            <w:r w:rsidR="005F51CC">
              <w:rPr>
                <w:noProof/>
                <w:webHidden/>
              </w:rPr>
              <w:fldChar w:fldCharType="separate"/>
            </w:r>
            <w:r w:rsidR="00B053C2">
              <w:rPr>
                <w:noProof/>
                <w:webHidden/>
              </w:rPr>
              <w:t>8</w:t>
            </w:r>
            <w:r w:rsidR="005F51CC">
              <w:rPr>
                <w:noProof/>
                <w:webHidden/>
              </w:rPr>
              <w:fldChar w:fldCharType="end"/>
            </w:r>
          </w:hyperlink>
        </w:p>
        <w:p w14:paraId="5783E101" w14:textId="77777777" w:rsidR="007F5E45" w:rsidRDefault="00F46719" w:rsidP="007F5E45">
          <w:pPr>
            <w:rPr>
              <w:b/>
              <w:bCs/>
              <w:lang w:val="es-ES"/>
            </w:rPr>
          </w:pPr>
          <w:r>
            <w:rPr>
              <w:b/>
              <w:bCs/>
              <w:lang w:val="es-ES"/>
            </w:rPr>
            <w:fldChar w:fldCharType="end"/>
          </w:r>
        </w:p>
      </w:sdtContent>
    </w:sdt>
    <w:bookmarkStart w:id="0" w:name="_Toc161472866" w:displacedByCustomXml="prev"/>
    <w:p w14:paraId="54575967" w14:textId="5367FDE3" w:rsidR="007D1E76" w:rsidRPr="00101390" w:rsidRDefault="007E38A2" w:rsidP="000C3365">
      <w:pPr>
        <w:pStyle w:val="Ttulo2"/>
        <w:rPr>
          <w:rFonts w:asciiTheme="minorHAnsi" w:hAnsiTheme="minorHAnsi" w:cstheme="minorHAnsi"/>
          <w:b/>
          <w:color w:val="auto"/>
          <w:sz w:val="20"/>
          <w:szCs w:val="20"/>
        </w:rPr>
      </w:pPr>
      <w:r w:rsidRPr="00101390">
        <w:rPr>
          <w:rFonts w:asciiTheme="minorHAnsi" w:hAnsiTheme="minorHAnsi" w:cstheme="minorHAnsi"/>
          <w:b/>
          <w:color w:val="auto"/>
          <w:sz w:val="20"/>
          <w:szCs w:val="20"/>
        </w:rPr>
        <w:t>1</w:t>
      </w:r>
      <w:r w:rsidR="007D1E76" w:rsidRPr="00101390">
        <w:rPr>
          <w:rFonts w:asciiTheme="minorHAnsi" w:hAnsiTheme="minorHAnsi" w:cstheme="minorHAnsi"/>
          <w:b/>
          <w:color w:val="auto"/>
          <w:sz w:val="20"/>
          <w:szCs w:val="20"/>
        </w:rPr>
        <w:t>. Autoriza</w:t>
      </w:r>
      <w:r w:rsidR="00E00323" w:rsidRPr="00101390">
        <w:rPr>
          <w:rFonts w:asciiTheme="minorHAnsi" w:hAnsiTheme="minorHAnsi" w:cstheme="minorHAnsi"/>
          <w:b/>
          <w:color w:val="auto"/>
          <w:sz w:val="20"/>
          <w:szCs w:val="20"/>
        </w:rPr>
        <w:t>ción e Historia:</w:t>
      </w:r>
      <w:bookmarkEnd w:id="0"/>
    </w:p>
    <w:p w14:paraId="441574CB" w14:textId="77777777" w:rsidR="007D1E76" w:rsidRPr="00101390" w:rsidRDefault="007D1E76" w:rsidP="00CB41C4">
      <w:pPr>
        <w:tabs>
          <w:tab w:val="left" w:leader="underscore" w:pos="9639"/>
        </w:tabs>
        <w:spacing w:after="0" w:line="240" w:lineRule="auto"/>
        <w:jc w:val="both"/>
        <w:rPr>
          <w:rFonts w:cs="Calibri"/>
          <w:sz w:val="20"/>
          <w:szCs w:val="20"/>
        </w:rPr>
      </w:pPr>
      <w:r w:rsidRPr="00101390">
        <w:rPr>
          <w:rFonts w:cs="Calibri"/>
          <w:sz w:val="20"/>
          <w:szCs w:val="20"/>
        </w:rPr>
        <w:t>Se informará sobre:</w:t>
      </w:r>
    </w:p>
    <w:p w14:paraId="3F477DA3" w14:textId="72F8AFA1" w:rsidR="007D1E76" w:rsidRPr="00101390" w:rsidRDefault="007D1E76" w:rsidP="00CB41C4">
      <w:pPr>
        <w:tabs>
          <w:tab w:val="left" w:leader="underscore" w:pos="9639"/>
        </w:tabs>
        <w:spacing w:after="0" w:line="240" w:lineRule="auto"/>
        <w:jc w:val="both"/>
        <w:rPr>
          <w:rFonts w:cs="Calibri"/>
          <w:sz w:val="20"/>
          <w:szCs w:val="20"/>
        </w:rPr>
      </w:pPr>
      <w:r w:rsidRPr="00101390">
        <w:rPr>
          <w:rFonts w:cs="Calibri"/>
          <w:b/>
          <w:sz w:val="20"/>
          <w:szCs w:val="20"/>
        </w:rPr>
        <w:t>a)</w:t>
      </w:r>
      <w:r w:rsidRPr="00101390">
        <w:rPr>
          <w:rFonts w:cs="Calibri"/>
          <w:sz w:val="20"/>
          <w:szCs w:val="20"/>
        </w:rPr>
        <w:t xml:space="preserve"> Fecha de creación del ente</w:t>
      </w:r>
      <w:r w:rsidR="00F43AC5" w:rsidRPr="00101390">
        <w:rPr>
          <w:rFonts w:cs="Calibri"/>
          <w:sz w:val="20"/>
          <w:szCs w:val="20"/>
        </w:rPr>
        <w:t xml:space="preserve"> público.</w:t>
      </w:r>
    </w:p>
    <w:p w14:paraId="3837CA26" w14:textId="1256778E" w:rsidR="007D1E76" w:rsidRPr="00101390" w:rsidRDefault="00E4341B" w:rsidP="00CB41C4">
      <w:pPr>
        <w:tabs>
          <w:tab w:val="left" w:leader="underscore" w:pos="9639"/>
        </w:tabs>
        <w:spacing w:after="0" w:line="240" w:lineRule="auto"/>
        <w:jc w:val="both"/>
        <w:rPr>
          <w:rFonts w:cs="Calibri"/>
          <w:sz w:val="20"/>
          <w:szCs w:val="20"/>
        </w:rPr>
      </w:pPr>
      <w:r w:rsidRPr="00101390">
        <w:rPr>
          <w:rFonts w:cs="Calibri"/>
          <w:sz w:val="20"/>
          <w:szCs w:val="20"/>
        </w:rPr>
        <w:t>El instituto Tecnológico Superior de Salvatierra se crea el 25 de agosto de 2009 mediante decreto del estado de Guanajuato.</w:t>
      </w:r>
    </w:p>
    <w:p w14:paraId="3A2353BF" w14:textId="77777777" w:rsidR="007D1E76" w:rsidRPr="00101390" w:rsidRDefault="007D1E76" w:rsidP="00CB41C4">
      <w:pPr>
        <w:tabs>
          <w:tab w:val="left" w:leader="underscore" w:pos="9639"/>
        </w:tabs>
        <w:spacing w:after="0" w:line="240" w:lineRule="auto"/>
        <w:jc w:val="both"/>
        <w:rPr>
          <w:rFonts w:cs="Calibri"/>
          <w:sz w:val="20"/>
          <w:szCs w:val="20"/>
        </w:rPr>
      </w:pPr>
      <w:r w:rsidRPr="00101390">
        <w:rPr>
          <w:rFonts w:cs="Calibri"/>
          <w:b/>
          <w:sz w:val="20"/>
          <w:szCs w:val="20"/>
        </w:rPr>
        <w:t>b)</w:t>
      </w:r>
      <w:r w:rsidRPr="00101390">
        <w:rPr>
          <w:rFonts w:cs="Calibri"/>
          <w:sz w:val="20"/>
          <w:szCs w:val="20"/>
        </w:rPr>
        <w:t xml:space="preserve"> Principales cambios en su estructura (interna históricamente).</w:t>
      </w:r>
    </w:p>
    <w:p w14:paraId="16A215A1" w14:textId="4F4D9572" w:rsidR="00516A8F" w:rsidRPr="00101390" w:rsidRDefault="00E4341B" w:rsidP="00516A8F">
      <w:pPr>
        <w:tabs>
          <w:tab w:val="left" w:leader="underscore" w:pos="9639"/>
        </w:tabs>
        <w:spacing w:after="0" w:line="240" w:lineRule="auto"/>
        <w:jc w:val="both"/>
        <w:rPr>
          <w:rFonts w:cs="Calibri"/>
          <w:sz w:val="20"/>
          <w:szCs w:val="20"/>
        </w:rPr>
      </w:pPr>
      <w:r w:rsidRPr="00101390">
        <w:rPr>
          <w:rFonts w:cs="Calibri"/>
          <w:sz w:val="20"/>
          <w:szCs w:val="20"/>
        </w:rPr>
        <w:t>En sus inicios se crea con una estructura básica tipo a del TECNM para posteriormente y debido a su crecimiento natural se obtiene una estructura tipo c.</w:t>
      </w:r>
    </w:p>
    <w:p w14:paraId="37A07678" w14:textId="77777777" w:rsidR="00E4341B" w:rsidRPr="00101390" w:rsidRDefault="00E4341B" w:rsidP="00516A8F">
      <w:pPr>
        <w:tabs>
          <w:tab w:val="left" w:leader="underscore" w:pos="9639"/>
        </w:tabs>
        <w:spacing w:after="0" w:line="240" w:lineRule="auto"/>
        <w:jc w:val="both"/>
        <w:rPr>
          <w:rFonts w:cs="Calibri"/>
          <w:sz w:val="20"/>
          <w:szCs w:val="20"/>
        </w:rPr>
      </w:pPr>
    </w:p>
    <w:p w14:paraId="5A494C73" w14:textId="2CC077B0" w:rsidR="00BE02EB" w:rsidRPr="00101390" w:rsidRDefault="00BE02EB" w:rsidP="000C3365">
      <w:pPr>
        <w:pStyle w:val="Ttulo2"/>
        <w:rPr>
          <w:rFonts w:asciiTheme="minorHAnsi" w:hAnsiTheme="minorHAnsi" w:cstheme="minorHAnsi"/>
          <w:b/>
          <w:color w:val="auto"/>
          <w:sz w:val="20"/>
          <w:szCs w:val="20"/>
        </w:rPr>
      </w:pPr>
      <w:bookmarkStart w:id="1" w:name="_Toc161472867"/>
      <w:r w:rsidRPr="00101390">
        <w:rPr>
          <w:rFonts w:asciiTheme="minorHAnsi" w:hAnsiTheme="minorHAnsi" w:cstheme="minorHAnsi"/>
          <w:b/>
          <w:color w:val="auto"/>
          <w:sz w:val="20"/>
          <w:szCs w:val="20"/>
        </w:rPr>
        <w:t xml:space="preserve">2. </w:t>
      </w:r>
      <w:r w:rsidR="00B6368B" w:rsidRPr="00101390">
        <w:rPr>
          <w:rFonts w:asciiTheme="minorHAnsi" w:hAnsiTheme="minorHAnsi" w:cstheme="minorHAnsi"/>
          <w:b/>
          <w:color w:val="auto"/>
          <w:sz w:val="20"/>
          <w:szCs w:val="20"/>
        </w:rPr>
        <w:t>Panorama Económico y Financiero</w:t>
      </w:r>
      <w:bookmarkEnd w:id="1"/>
    </w:p>
    <w:p w14:paraId="548FE5C0" w14:textId="3C95EB09" w:rsidR="00516A8F" w:rsidRPr="00101390" w:rsidRDefault="0012493A" w:rsidP="00516A8F">
      <w:pPr>
        <w:tabs>
          <w:tab w:val="left" w:leader="underscore" w:pos="9639"/>
        </w:tabs>
        <w:spacing w:after="0" w:line="240" w:lineRule="auto"/>
        <w:jc w:val="both"/>
        <w:rPr>
          <w:rFonts w:cs="Calibri"/>
          <w:sz w:val="20"/>
          <w:szCs w:val="20"/>
        </w:rPr>
      </w:pPr>
      <w:r w:rsidRPr="00101390">
        <w:rPr>
          <w:rFonts w:cs="Calibri"/>
          <w:sz w:val="20"/>
          <w:szCs w:val="20"/>
        </w:rPr>
        <w:t>Se informará sobre las principales condiciones económico-financieras bajo las cuales el ente público estuvo operando; y las cuales influyeron en la toma de decisiones de la administración; tanto a nivel local como federal.</w:t>
      </w:r>
    </w:p>
    <w:p w14:paraId="6841A9BC" w14:textId="248FD5B3" w:rsidR="0012493A" w:rsidRPr="00101390" w:rsidRDefault="00E4341B" w:rsidP="0012493A">
      <w:pPr>
        <w:tabs>
          <w:tab w:val="left" w:leader="underscore" w:pos="9639"/>
        </w:tabs>
        <w:spacing w:after="0" w:line="240" w:lineRule="auto"/>
        <w:jc w:val="both"/>
        <w:rPr>
          <w:rFonts w:cs="Calibri"/>
          <w:sz w:val="20"/>
          <w:szCs w:val="20"/>
        </w:rPr>
      </w:pPr>
      <w:r w:rsidRPr="00101390">
        <w:rPr>
          <w:rFonts w:cs="Calibri"/>
          <w:sz w:val="20"/>
          <w:szCs w:val="20"/>
        </w:rPr>
        <w:t>El instituto tecnológico superior de Salvatierra obtiene sus recursos financieros a través de subsidios de origen federal, estatal, eventualmente municipales y por recurso obtenidos por otros conceptos tales como concesión de cafetería y cursos ofertados en general. Todo esto permite que el instituto cumpla con su actividad primordial de formar profesionistas que permitan desarrollar a la región y al país.</w:t>
      </w:r>
    </w:p>
    <w:p w14:paraId="208447E6" w14:textId="77777777" w:rsidR="0012493A" w:rsidRPr="00101390" w:rsidRDefault="0012493A" w:rsidP="00516A8F">
      <w:pPr>
        <w:tabs>
          <w:tab w:val="left" w:leader="underscore" w:pos="9639"/>
        </w:tabs>
        <w:spacing w:after="0" w:line="240" w:lineRule="auto"/>
        <w:jc w:val="both"/>
        <w:rPr>
          <w:rFonts w:cs="Calibri"/>
          <w:sz w:val="20"/>
          <w:szCs w:val="20"/>
        </w:rPr>
      </w:pPr>
    </w:p>
    <w:p w14:paraId="08136E94" w14:textId="2B775A1C" w:rsidR="007D1E76" w:rsidRPr="00101390" w:rsidRDefault="009736CB" w:rsidP="000C3365">
      <w:pPr>
        <w:pStyle w:val="Ttulo2"/>
        <w:rPr>
          <w:rFonts w:asciiTheme="minorHAnsi" w:hAnsiTheme="minorHAnsi" w:cstheme="minorHAnsi"/>
          <w:b/>
          <w:color w:val="auto"/>
          <w:sz w:val="20"/>
          <w:szCs w:val="20"/>
        </w:rPr>
      </w:pPr>
      <w:bookmarkStart w:id="2" w:name="_Toc161472868"/>
      <w:r w:rsidRPr="00101390">
        <w:rPr>
          <w:rFonts w:asciiTheme="minorHAnsi" w:hAnsiTheme="minorHAnsi" w:cstheme="minorHAnsi"/>
          <w:b/>
          <w:color w:val="auto"/>
          <w:sz w:val="20"/>
          <w:szCs w:val="20"/>
        </w:rPr>
        <w:t>3</w:t>
      </w:r>
      <w:r w:rsidR="007D1E76" w:rsidRPr="00101390">
        <w:rPr>
          <w:rFonts w:asciiTheme="minorHAnsi" w:hAnsiTheme="minorHAnsi" w:cstheme="minorHAnsi"/>
          <w:b/>
          <w:color w:val="auto"/>
          <w:sz w:val="20"/>
          <w:szCs w:val="20"/>
        </w:rPr>
        <w:t xml:space="preserve">. </w:t>
      </w:r>
      <w:r w:rsidR="00E00323" w:rsidRPr="00101390">
        <w:rPr>
          <w:rFonts w:asciiTheme="minorHAnsi" w:hAnsiTheme="minorHAnsi" w:cstheme="minorHAnsi"/>
          <w:b/>
          <w:color w:val="auto"/>
          <w:sz w:val="20"/>
          <w:szCs w:val="20"/>
        </w:rPr>
        <w:t>Organización y Objeto Social:</w:t>
      </w:r>
      <w:bookmarkEnd w:id="2"/>
    </w:p>
    <w:p w14:paraId="67B5DF23" w14:textId="77777777" w:rsidR="007D1E76" w:rsidRPr="00101390" w:rsidRDefault="007D1E76" w:rsidP="00CB41C4">
      <w:pPr>
        <w:tabs>
          <w:tab w:val="left" w:leader="underscore" w:pos="9639"/>
        </w:tabs>
        <w:spacing w:after="0" w:line="240" w:lineRule="auto"/>
        <w:jc w:val="both"/>
        <w:rPr>
          <w:rFonts w:cs="Calibri"/>
          <w:sz w:val="20"/>
          <w:szCs w:val="20"/>
        </w:rPr>
      </w:pPr>
      <w:r w:rsidRPr="00101390">
        <w:rPr>
          <w:rFonts w:cs="Calibri"/>
          <w:sz w:val="20"/>
          <w:szCs w:val="20"/>
        </w:rPr>
        <w:t>Se informará sobre:</w:t>
      </w:r>
    </w:p>
    <w:p w14:paraId="3A7F2587" w14:textId="77777777" w:rsidR="007D1E76" w:rsidRPr="00101390" w:rsidRDefault="007D1E76" w:rsidP="00CB41C4">
      <w:pPr>
        <w:tabs>
          <w:tab w:val="left" w:leader="underscore" w:pos="9639"/>
        </w:tabs>
        <w:spacing w:after="0" w:line="240" w:lineRule="auto"/>
        <w:jc w:val="both"/>
        <w:rPr>
          <w:rFonts w:cs="Calibri"/>
          <w:sz w:val="20"/>
          <w:szCs w:val="20"/>
        </w:rPr>
      </w:pPr>
      <w:r w:rsidRPr="00101390">
        <w:rPr>
          <w:rFonts w:cs="Calibri"/>
          <w:b/>
          <w:sz w:val="20"/>
          <w:szCs w:val="20"/>
        </w:rPr>
        <w:t>a)</w:t>
      </w:r>
      <w:r w:rsidRPr="00101390">
        <w:rPr>
          <w:rFonts w:cs="Calibri"/>
          <w:sz w:val="20"/>
          <w:szCs w:val="20"/>
        </w:rPr>
        <w:t xml:space="preserve"> Objeto social.</w:t>
      </w:r>
    </w:p>
    <w:p w14:paraId="4E01E1A7" w14:textId="77777777" w:rsidR="00BA1680" w:rsidRPr="00101390" w:rsidRDefault="00BA1680" w:rsidP="00CB41C4">
      <w:pPr>
        <w:tabs>
          <w:tab w:val="left" w:leader="underscore" w:pos="9639"/>
        </w:tabs>
        <w:spacing w:after="0" w:line="240" w:lineRule="auto"/>
        <w:jc w:val="both"/>
        <w:rPr>
          <w:rFonts w:ascii="Arial" w:hAnsi="Arial" w:cs="Arial"/>
          <w:sz w:val="20"/>
          <w:szCs w:val="20"/>
          <w:lang w:val="es-ES" w:eastAsia="es-ES"/>
        </w:rPr>
      </w:pPr>
      <w:r w:rsidRPr="00101390">
        <w:rPr>
          <w:rFonts w:ascii="Arial" w:hAnsi="Arial" w:cs="Arial"/>
          <w:sz w:val="20"/>
          <w:szCs w:val="20"/>
          <w:lang w:val="es-ES" w:eastAsia="es-ES"/>
        </w:rPr>
        <w:t>Contribuir, a través del proceso educativo, a mejorar las condiciones de vida de los guanajuatenses</w:t>
      </w:r>
    </w:p>
    <w:p w14:paraId="2C110A08" w14:textId="77777777" w:rsidR="007D1E76" w:rsidRPr="00101390" w:rsidRDefault="007D1E76" w:rsidP="00CB41C4">
      <w:pPr>
        <w:tabs>
          <w:tab w:val="left" w:leader="underscore" w:pos="9639"/>
        </w:tabs>
        <w:spacing w:after="0" w:line="240" w:lineRule="auto"/>
        <w:jc w:val="both"/>
        <w:rPr>
          <w:rFonts w:cs="Calibri"/>
          <w:sz w:val="20"/>
          <w:szCs w:val="20"/>
        </w:rPr>
      </w:pPr>
      <w:r w:rsidRPr="00101390">
        <w:rPr>
          <w:rFonts w:cs="Calibri"/>
          <w:b/>
          <w:sz w:val="20"/>
          <w:szCs w:val="20"/>
        </w:rPr>
        <w:t>b)</w:t>
      </w:r>
      <w:r w:rsidRPr="00101390">
        <w:rPr>
          <w:rFonts w:cs="Calibri"/>
          <w:sz w:val="20"/>
          <w:szCs w:val="20"/>
        </w:rPr>
        <w:t xml:space="preserve"> Principal actividad.</w:t>
      </w:r>
    </w:p>
    <w:p w14:paraId="25E068D1" w14:textId="00E102A3" w:rsidR="007D1E76" w:rsidRPr="00101390" w:rsidRDefault="00BA1680" w:rsidP="00CB41C4">
      <w:pPr>
        <w:tabs>
          <w:tab w:val="left" w:leader="underscore" w:pos="9639"/>
        </w:tabs>
        <w:spacing w:after="0" w:line="240" w:lineRule="auto"/>
        <w:jc w:val="both"/>
        <w:rPr>
          <w:rFonts w:cs="Calibri"/>
          <w:sz w:val="20"/>
          <w:szCs w:val="20"/>
        </w:rPr>
      </w:pPr>
      <w:r w:rsidRPr="00101390">
        <w:rPr>
          <w:rFonts w:ascii="Arial" w:hAnsi="Arial" w:cs="Arial"/>
          <w:sz w:val="20"/>
          <w:szCs w:val="20"/>
          <w:lang w:val="es-ES" w:eastAsia="es-ES"/>
        </w:rPr>
        <w:t>Ofertar Educación Superior Tecnológica</w:t>
      </w:r>
    </w:p>
    <w:p w14:paraId="2D21CE61" w14:textId="6D32D0F0" w:rsidR="007D1E76" w:rsidRPr="00101390" w:rsidRDefault="007D1E76" w:rsidP="00CB41C4">
      <w:pPr>
        <w:tabs>
          <w:tab w:val="left" w:leader="underscore" w:pos="9639"/>
        </w:tabs>
        <w:spacing w:after="0" w:line="240" w:lineRule="auto"/>
        <w:jc w:val="both"/>
        <w:rPr>
          <w:rFonts w:cs="Calibri"/>
          <w:sz w:val="20"/>
          <w:szCs w:val="20"/>
        </w:rPr>
      </w:pPr>
      <w:r w:rsidRPr="00101390">
        <w:rPr>
          <w:rFonts w:cs="Calibri"/>
          <w:b/>
          <w:sz w:val="20"/>
          <w:szCs w:val="20"/>
        </w:rPr>
        <w:t>c)</w:t>
      </w:r>
      <w:r w:rsidRPr="00101390">
        <w:rPr>
          <w:rFonts w:cs="Calibri"/>
          <w:sz w:val="20"/>
          <w:szCs w:val="20"/>
        </w:rPr>
        <w:t xml:space="preserve"> Ejercicio fiscal (</w:t>
      </w:r>
      <w:r w:rsidR="00CB41C4" w:rsidRPr="00101390">
        <w:rPr>
          <w:rFonts w:cs="Calibri"/>
          <w:sz w:val="20"/>
          <w:szCs w:val="20"/>
        </w:rPr>
        <w:t>mencionar,</w:t>
      </w:r>
      <w:r w:rsidRPr="00101390">
        <w:rPr>
          <w:rFonts w:cs="Calibri"/>
          <w:sz w:val="20"/>
          <w:szCs w:val="20"/>
        </w:rPr>
        <w:t xml:space="preserve"> por ejemplo: enero a diciembre de 20</w:t>
      </w:r>
      <w:r w:rsidR="009736CB" w:rsidRPr="00101390">
        <w:rPr>
          <w:rFonts w:cs="Calibri"/>
          <w:sz w:val="20"/>
          <w:szCs w:val="20"/>
        </w:rPr>
        <w:t>24</w:t>
      </w:r>
      <w:r w:rsidRPr="00101390">
        <w:rPr>
          <w:rFonts w:cs="Calibri"/>
          <w:sz w:val="20"/>
          <w:szCs w:val="20"/>
        </w:rPr>
        <w:t>).</w:t>
      </w:r>
    </w:p>
    <w:p w14:paraId="04F7186A" w14:textId="5B988197" w:rsidR="007D1E76" w:rsidRPr="00101390" w:rsidRDefault="00BA1680" w:rsidP="00CB41C4">
      <w:pPr>
        <w:tabs>
          <w:tab w:val="left" w:leader="underscore" w:pos="9639"/>
        </w:tabs>
        <w:spacing w:after="0" w:line="240" w:lineRule="auto"/>
        <w:jc w:val="both"/>
        <w:rPr>
          <w:rFonts w:cs="Calibri"/>
          <w:sz w:val="20"/>
          <w:szCs w:val="20"/>
        </w:rPr>
      </w:pPr>
      <w:r w:rsidRPr="00101390">
        <w:rPr>
          <w:rFonts w:cs="Calibri"/>
          <w:sz w:val="20"/>
          <w:szCs w:val="20"/>
        </w:rPr>
        <w:t>Enero a Diciembre de 2024</w:t>
      </w:r>
    </w:p>
    <w:p w14:paraId="6B13C93F" w14:textId="77777777" w:rsidR="007D1E76" w:rsidRPr="00101390" w:rsidRDefault="007D1E76" w:rsidP="00CB41C4">
      <w:pPr>
        <w:tabs>
          <w:tab w:val="left" w:leader="underscore" w:pos="9639"/>
        </w:tabs>
        <w:spacing w:after="0" w:line="240" w:lineRule="auto"/>
        <w:jc w:val="both"/>
        <w:rPr>
          <w:rFonts w:cs="Calibri"/>
          <w:sz w:val="20"/>
          <w:szCs w:val="20"/>
        </w:rPr>
      </w:pPr>
      <w:r w:rsidRPr="00101390">
        <w:rPr>
          <w:rFonts w:cs="Calibri"/>
          <w:b/>
          <w:sz w:val="20"/>
          <w:szCs w:val="20"/>
        </w:rPr>
        <w:t>d)</w:t>
      </w:r>
      <w:r w:rsidRPr="00101390">
        <w:rPr>
          <w:rFonts w:cs="Calibri"/>
          <w:sz w:val="20"/>
          <w:szCs w:val="20"/>
        </w:rPr>
        <w:t xml:space="preserve"> Régimen jurídico (Forma como está dada de alta la entidad ante la S.H.C.P., ejemplos: S.C., S.A., Personas morales sin fines de lucro, etc.).</w:t>
      </w:r>
    </w:p>
    <w:p w14:paraId="01F9F682" w14:textId="77777777" w:rsidR="00BA1680" w:rsidRPr="00101390" w:rsidRDefault="00BA1680" w:rsidP="00BA1680">
      <w:pPr>
        <w:tabs>
          <w:tab w:val="left" w:leader="underscore" w:pos="9639"/>
        </w:tabs>
        <w:spacing w:after="0" w:line="240" w:lineRule="auto"/>
        <w:jc w:val="both"/>
        <w:rPr>
          <w:rFonts w:ascii="Callibri" w:hAnsi="Callibri" w:cs="Arial"/>
          <w:sz w:val="20"/>
          <w:szCs w:val="20"/>
          <w:lang w:val="es-ES" w:eastAsia="es-ES"/>
        </w:rPr>
      </w:pPr>
      <w:r w:rsidRPr="00101390">
        <w:rPr>
          <w:rFonts w:ascii="Callibri" w:hAnsi="Callibri" w:cs="Arial"/>
          <w:sz w:val="20"/>
          <w:szCs w:val="20"/>
          <w:lang w:val="es-ES" w:eastAsia="es-ES"/>
        </w:rPr>
        <w:t>Personas morales sin fines de lucro.</w:t>
      </w:r>
    </w:p>
    <w:p w14:paraId="711C6095" w14:textId="5DBDB060" w:rsidR="007D1E76" w:rsidRPr="00101390" w:rsidRDefault="007D1E76" w:rsidP="00CB41C4">
      <w:pPr>
        <w:tabs>
          <w:tab w:val="left" w:leader="underscore" w:pos="9639"/>
        </w:tabs>
        <w:spacing w:after="0" w:line="240" w:lineRule="auto"/>
        <w:jc w:val="both"/>
        <w:rPr>
          <w:rFonts w:cs="Calibri"/>
          <w:sz w:val="20"/>
          <w:szCs w:val="20"/>
        </w:rPr>
      </w:pPr>
    </w:p>
    <w:p w14:paraId="15948964" w14:textId="77777777" w:rsidR="007D1E76" w:rsidRPr="00101390" w:rsidRDefault="007D1E76" w:rsidP="00CB41C4">
      <w:pPr>
        <w:tabs>
          <w:tab w:val="left" w:leader="underscore" w:pos="9639"/>
        </w:tabs>
        <w:spacing w:after="0" w:line="240" w:lineRule="auto"/>
        <w:jc w:val="both"/>
        <w:rPr>
          <w:rFonts w:cs="Calibri"/>
          <w:sz w:val="20"/>
          <w:szCs w:val="20"/>
        </w:rPr>
      </w:pPr>
      <w:r w:rsidRPr="00101390">
        <w:rPr>
          <w:rFonts w:cs="Calibri"/>
          <w:b/>
          <w:sz w:val="20"/>
          <w:szCs w:val="20"/>
        </w:rPr>
        <w:t>e)</w:t>
      </w:r>
      <w:r w:rsidRPr="00101390">
        <w:rPr>
          <w:rFonts w:cs="Calibri"/>
          <w:sz w:val="20"/>
          <w:szCs w:val="20"/>
        </w:rPr>
        <w:t xml:space="preserve"> Consideraciones fiscales del ente: </w:t>
      </w:r>
      <w:r w:rsidR="00657009" w:rsidRPr="00101390">
        <w:rPr>
          <w:rFonts w:cs="Calibri"/>
          <w:sz w:val="20"/>
          <w:szCs w:val="20"/>
        </w:rPr>
        <w:t>R</w:t>
      </w:r>
      <w:r w:rsidRPr="00101390">
        <w:rPr>
          <w:rFonts w:cs="Calibri"/>
          <w:sz w:val="20"/>
          <w:szCs w:val="20"/>
        </w:rPr>
        <w:t>evelar el tipo de contribuciones que esté obligado a pagar o retener.</w:t>
      </w:r>
    </w:p>
    <w:p w14:paraId="7E6777B9" w14:textId="48A78AC8" w:rsidR="007D1E76" w:rsidRPr="00101390" w:rsidRDefault="00BA1680" w:rsidP="00CB41C4">
      <w:pPr>
        <w:tabs>
          <w:tab w:val="left" w:leader="underscore" w:pos="9639"/>
        </w:tabs>
        <w:spacing w:after="0" w:line="240" w:lineRule="auto"/>
        <w:jc w:val="both"/>
        <w:rPr>
          <w:rFonts w:cs="Calibri"/>
          <w:sz w:val="20"/>
          <w:szCs w:val="20"/>
        </w:rPr>
      </w:pPr>
      <w:r w:rsidRPr="00101390">
        <w:rPr>
          <w:rFonts w:ascii="Arial" w:hAnsi="Arial" w:cs="Arial"/>
          <w:sz w:val="20"/>
          <w:szCs w:val="20"/>
          <w:lang w:val="es-ES" w:eastAsia="es-ES"/>
        </w:rPr>
        <w:t xml:space="preserve">     </w:t>
      </w:r>
      <w:r w:rsidRPr="00101390">
        <w:rPr>
          <w:rFonts w:cs="Calibri"/>
          <w:sz w:val="20"/>
          <w:szCs w:val="20"/>
          <w:lang w:val="es-ES" w:eastAsia="es-ES"/>
        </w:rPr>
        <w:t>Retener y Enterar ISR por Salarios, Retener y enterar ISR por arrendamiento, Retener y enterar ISR por retención sobre honorarios. Impuesto estatal sobre nóminas, Retener y enterar impuesto estatal cedular por honorarios y arrendamiento</w:t>
      </w:r>
      <w:r w:rsidRPr="00101390">
        <w:rPr>
          <w:rFonts w:ascii="Arial" w:hAnsi="Arial" w:cs="Arial"/>
          <w:sz w:val="20"/>
          <w:szCs w:val="20"/>
          <w:lang w:val="es-ES" w:eastAsia="es-ES"/>
        </w:rPr>
        <w:t>.</w:t>
      </w: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101390" w:rsidRDefault="007D1E76" w:rsidP="00CB41C4">
      <w:pPr>
        <w:tabs>
          <w:tab w:val="left" w:leader="underscore" w:pos="9639"/>
        </w:tabs>
        <w:spacing w:after="0" w:line="240" w:lineRule="auto"/>
        <w:jc w:val="both"/>
        <w:rPr>
          <w:rFonts w:cs="Calibri"/>
          <w:sz w:val="20"/>
          <w:szCs w:val="20"/>
        </w:rPr>
      </w:pPr>
      <w:r w:rsidRPr="00101390">
        <w:rPr>
          <w:rFonts w:cs="Calibri"/>
          <w:b/>
          <w:sz w:val="20"/>
          <w:szCs w:val="20"/>
        </w:rPr>
        <w:t>f)</w:t>
      </w:r>
      <w:r w:rsidRPr="00101390">
        <w:rPr>
          <w:rFonts w:cs="Calibri"/>
          <w:sz w:val="20"/>
          <w:szCs w:val="20"/>
        </w:rPr>
        <w:t xml:space="preserve"> Estructura organizacional básica.</w:t>
      </w:r>
    </w:p>
    <w:p w14:paraId="0FE08B68" w14:textId="77777777" w:rsidR="007D1E76" w:rsidRPr="00101390" w:rsidRDefault="007D1E76" w:rsidP="00CB41C4">
      <w:pPr>
        <w:tabs>
          <w:tab w:val="left" w:leader="underscore" w:pos="9639"/>
        </w:tabs>
        <w:spacing w:after="0" w:line="240" w:lineRule="auto"/>
        <w:ind w:firstLine="708"/>
        <w:jc w:val="both"/>
        <w:rPr>
          <w:rFonts w:cs="Calibri"/>
          <w:sz w:val="20"/>
          <w:szCs w:val="20"/>
        </w:rPr>
      </w:pPr>
      <w:r w:rsidRPr="00101390">
        <w:rPr>
          <w:rFonts w:cs="Calibri"/>
          <w:sz w:val="20"/>
          <w:szCs w:val="20"/>
        </w:rPr>
        <w:t>*Anexar organigrama de la entidad.</w:t>
      </w:r>
    </w:p>
    <w:p w14:paraId="3450C629" w14:textId="3688FBB3" w:rsidR="007D1E76" w:rsidRDefault="007D1E76" w:rsidP="00CB41C4">
      <w:pPr>
        <w:tabs>
          <w:tab w:val="left" w:leader="underscore" w:pos="9639"/>
        </w:tabs>
        <w:spacing w:after="0" w:line="240" w:lineRule="auto"/>
        <w:jc w:val="both"/>
        <w:rPr>
          <w:rFonts w:cs="Calibri"/>
        </w:rPr>
      </w:pPr>
    </w:p>
    <w:p w14:paraId="402CD14D" w14:textId="1176027C" w:rsidR="00CB41C4" w:rsidRDefault="00BA1680" w:rsidP="00CB41C4">
      <w:pPr>
        <w:tabs>
          <w:tab w:val="left" w:leader="underscore" w:pos="9639"/>
        </w:tabs>
        <w:spacing w:after="0" w:line="240" w:lineRule="auto"/>
        <w:jc w:val="both"/>
        <w:rPr>
          <w:rFonts w:cs="Calibri"/>
        </w:rPr>
      </w:pPr>
      <w:r>
        <w:rPr>
          <w:rFonts w:cs="Calibri"/>
          <w:noProof/>
          <w:lang w:eastAsia="es-MX"/>
        </w:rPr>
        <w:lastRenderedPageBreak/>
        <w:drawing>
          <wp:inline distT="0" distB="0" distL="0" distR="0" wp14:anchorId="2604C71B" wp14:editId="4D81544C">
            <wp:extent cx="7784327" cy="4298315"/>
            <wp:effectExtent l="0" t="0" r="762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11563" cy="4313354"/>
                    </a:xfrm>
                    <a:prstGeom prst="rect">
                      <a:avLst/>
                    </a:prstGeom>
                    <a:noFill/>
                  </pic:spPr>
                </pic:pic>
              </a:graphicData>
            </a:graphic>
          </wp:inline>
        </w:drawing>
      </w:r>
    </w:p>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080C658" w:rsidR="007D1E76" w:rsidRPr="00101390" w:rsidRDefault="007D1E76" w:rsidP="00CB41C4">
      <w:pPr>
        <w:tabs>
          <w:tab w:val="left" w:leader="underscore" w:pos="9639"/>
        </w:tabs>
        <w:spacing w:after="0" w:line="240" w:lineRule="auto"/>
        <w:jc w:val="both"/>
        <w:rPr>
          <w:rFonts w:cs="Calibri"/>
          <w:sz w:val="20"/>
          <w:szCs w:val="20"/>
        </w:rPr>
      </w:pPr>
      <w:r w:rsidRPr="00101390">
        <w:rPr>
          <w:rFonts w:cs="Calibri"/>
          <w:b/>
          <w:sz w:val="20"/>
          <w:szCs w:val="20"/>
        </w:rPr>
        <w:t>g)</w:t>
      </w:r>
      <w:r w:rsidRPr="00101390">
        <w:rPr>
          <w:rFonts w:cs="Calibri"/>
          <w:sz w:val="20"/>
          <w:szCs w:val="20"/>
        </w:rPr>
        <w:t xml:space="preserve"> </w:t>
      </w:r>
      <w:r w:rsidR="00396D53" w:rsidRPr="00101390">
        <w:rPr>
          <w:rFonts w:cs="Calibri"/>
          <w:sz w:val="20"/>
          <w:szCs w:val="20"/>
        </w:rPr>
        <w:t>Fideicomisos de los cuales es fideicomitente o fideicomisario, y contratos análogos, incluyendo mandatos de los cuales es parte.</w:t>
      </w:r>
    </w:p>
    <w:p w14:paraId="30A4EDC2" w14:textId="0B372904" w:rsidR="007D1E76" w:rsidRPr="00101390" w:rsidRDefault="00DA6F1E" w:rsidP="00CB41C4">
      <w:pPr>
        <w:tabs>
          <w:tab w:val="left" w:leader="underscore" w:pos="9639"/>
        </w:tabs>
        <w:spacing w:after="0" w:line="240" w:lineRule="auto"/>
        <w:jc w:val="both"/>
        <w:rPr>
          <w:rFonts w:cs="Calibri"/>
          <w:sz w:val="20"/>
          <w:szCs w:val="20"/>
        </w:rPr>
      </w:pPr>
      <w:r w:rsidRPr="00101390">
        <w:rPr>
          <w:rFonts w:cs="Calibri"/>
          <w:sz w:val="20"/>
          <w:szCs w:val="20"/>
        </w:rPr>
        <w:t>Sin información que revelar ya que no contamos con ninguna de estas figuras</w:t>
      </w:r>
    </w:p>
    <w:p w14:paraId="642A4B90" w14:textId="77777777" w:rsidR="00CB41C4" w:rsidRPr="00101390" w:rsidRDefault="00CB41C4" w:rsidP="00CB41C4">
      <w:pPr>
        <w:tabs>
          <w:tab w:val="left" w:leader="underscore" w:pos="9639"/>
        </w:tabs>
        <w:spacing w:after="0" w:line="240" w:lineRule="auto"/>
        <w:jc w:val="both"/>
        <w:rPr>
          <w:rFonts w:cs="Calibri"/>
          <w:sz w:val="20"/>
          <w:szCs w:val="20"/>
        </w:rPr>
      </w:pPr>
    </w:p>
    <w:p w14:paraId="12E280BB" w14:textId="61B6566F" w:rsidR="007D1E76" w:rsidRPr="00101390" w:rsidRDefault="006F77A8" w:rsidP="000C3365">
      <w:pPr>
        <w:pStyle w:val="Ttulo2"/>
        <w:rPr>
          <w:rFonts w:asciiTheme="minorHAnsi" w:hAnsiTheme="minorHAnsi" w:cstheme="minorHAnsi"/>
          <w:b/>
          <w:color w:val="auto"/>
          <w:sz w:val="20"/>
          <w:szCs w:val="20"/>
        </w:rPr>
      </w:pPr>
      <w:bookmarkStart w:id="3" w:name="_Toc161472869"/>
      <w:r w:rsidRPr="00101390">
        <w:rPr>
          <w:rFonts w:asciiTheme="minorHAnsi" w:hAnsiTheme="minorHAnsi" w:cstheme="minorHAnsi"/>
          <w:b/>
          <w:color w:val="auto"/>
          <w:sz w:val="20"/>
          <w:szCs w:val="20"/>
        </w:rPr>
        <w:t>4</w:t>
      </w:r>
      <w:r w:rsidR="007D1E76" w:rsidRPr="00101390">
        <w:rPr>
          <w:rFonts w:asciiTheme="minorHAnsi" w:hAnsiTheme="minorHAnsi" w:cstheme="minorHAnsi"/>
          <w:b/>
          <w:color w:val="auto"/>
          <w:sz w:val="20"/>
          <w:szCs w:val="20"/>
        </w:rPr>
        <w:t>. Bases de Preparació</w:t>
      </w:r>
      <w:r w:rsidR="00E00323" w:rsidRPr="00101390">
        <w:rPr>
          <w:rFonts w:asciiTheme="minorHAnsi" w:hAnsiTheme="minorHAnsi" w:cstheme="minorHAnsi"/>
          <w:b/>
          <w:color w:val="auto"/>
          <w:sz w:val="20"/>
          <w:szCs w:val="20"/>
        </w:rPr>
        <w:t>n de los Estados Financieros:</w:t>
      </w:r>
      <w:bookmarkEnd w:id="3"/>
    </w:p>
    <w:p w14:paraId="16713285" w14:textId="77777777" w:rsidR="007D1E76" w:rsidRPr="00101390" w:rsidRDefault="007D1E76" w:rsidP="00CB41C4">
      <w:pPr>
        <w:tabs>
          <w:tab w:val="left" w:leader="underscore" w:pos="9639"/>
        </w:tabs>
        <w:spacing w:after="0" w:line="240" w:lineRule="auto"/>
        <w:jc w:val="both"/>
        <w:rPr>
          <w:rFonts w:cs="Calibri"/>
          <w:sz w:val="20"/>
          <w:szCs w:val="20"/>
        </w:rPr>
      </w:pPr>
      <w:r w:rsidRPr="00101390">
        <w:rPr>
          <w:rFonts w:cs="Calibri"/>
          <w:sz w:val="20"/>
          <w:szCs w:val="20"/>
        </w:rPr>
        <w:t>Se informará sobre:</w:t>
      </w:r>
    </w:p>
    <w:p w14:paraId="4D261760" w14:textId="77777777" w:rsidR="007D1E76" w:rsidRPr="00101390" w:rsidRDefault="007D1E76" w:rsidP="00CB41C4">
      <w:pPr>
        <w:tabs>
          <w:tab w:val="left" w:leader="underscore" w:pos="9639"/>
        </w:tabs>
        <w:spacing w:after="0" w:line="240" w:lineRule="auto"/>
        <w:jc w:val="both"/>
        <w:rPr>
          <w:rFonts w:cs="Calibri"/>
          <w:sz w:val="20"/>
          <w:szCs w:val="20"/>
        </w:rPr>
      </w:pPr>
      <w:r w:rsidRPr="00101390">
        <w:rPr>
          <w:rFonts w:cs="Calibri"/>
          <w:b/>
          <w:sz w:val="20"/>
          <w:szCs w:val="20"/>
        </w:rPr>
        <w:t>a)</w:t>
      </w:r>
      <w:r w:rsidRPr="00101390">
        <w:rPr>
          <w:rFonts w:cs="Calibri"/>
          <w:sz w:val="20"/>
          <w:szCs w:val="20"/>
        </w:rPr>
        <w:t xml:space="preserve"> Si se ha observado la normatividad emitida por el CONAC y las disposiciones legales aplicables.</w:t>
      </w:r>
    </w:p>
    <w:p w14:paraId="495B8FFF" w14:textId="46C92903" w:rsidR="007D1E76" w:rsidRPr="00101390" w:rsidRDefault="00DA6F1E" w:rsidP="00CB41C4">
      <w:pPr>
        <w:tabs>
          <w:tab w:val="left" w:leader="underscore" w:pos="9639"/>
        </w:tabs>
        <w:spacing w:after="0" w:line="240" w:lineRule="auto"/>
        <w:jc w:val="both"/>
        <w:rPr>
          <w:rFonts w:asciiTheme="minorHAnsi" w:hAnsiTheme="minorHAnsi" w:cstheme="minorHAnsi"/>
          <w:sz w:val="20"/>
          <w:szCs w:val="20"/>
        </w:rPr>
      </w:pPr>
      <w:r w:rsidRPr="00101390">
        <w:rPr>
          <w:rFonts w:asciiTheme="minorHAnsi" w:hAnsiTheme="minorHAnsi" w:cstheme="minorHAnsi"/>
          <w:sz w:val="20"/>
          <w:szCs w:val="20"/>
          <w:lang w:val="es-ES" w:eastAsia="es-ES"/>
        </w:rPr>
        <w:lastRenderedPageBreak/>
        <w:t>Sí, se han revisado los documentos normativos relacionados con los Estados Financieros (Normas y Metodología para la emisión de información financiera y estructura de los estados financieros básicos del ente público y características de sus notas.</w:t>
      </w:r>
    </w:p>
    <w:p w14:paraId="73F52BD1" w14:textId="77777777" w:rsidR="007D1E76" w:rsidRPr="00101390" w:rsidRDefault="007D1E76" w:rsidP="00CB41C4">
      <w:pPr>
        <w:tabs>
          <w:tab w:val="left" w:leader="underscore" w:pos="9639"/>
        </w:tabs>
        <w:spacing w:after="0" w:line="240" w:lineRule="auto"/>
        <w:jc w:val="both"/>
        <w:rPr>
          <w:rFonts w:cs="Calibri"/>
          <w:sz w:val="20"/>
          <w:szCs w:val="20"/>
        </w:rPr>
      </w:pPr>
      <w:r w:rsidRPr="00101390">
        <w:rPr>
          <w:rFonts w:cs="Calibri"/>
          <w:b/>
          <w:sz w:val="20"/>
          <w:szCs w:val="20"/>
        </w:rPr>
        <w:t>b)</w:t>
      </w:r>
      <w:r w:rsidRPr="00101390">
        <w:rPr>
          <w:rFonts w:cs="Calibri"/>
          <w:sz w:val="20"/>
          <w:szCs w:val="20"/>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1F9EE54B" w14:textId="758BBBFA" w:rsidR="007D1E76" w:rsidRPr="00101390" w:rsidRDefault="00DA6F1E" w:rsidP="00CB41C4">
      <w:pPr>
        <w:tabs>
          <w:tab w:val="left" w:leader="underscore" w:pos="9639"/>
        </w:tabs>
        <w:spacing w:after="0" w:line="240" w:lineRule="auto"/>
        <w:jc w:val="both"/>
        <w:rPr>
          <w:rFonts w:cs="Calibri"/>
          <w:sz w:val="20"/>
          <w:szCs w:val="20"/>
        </w:rPr>
      </w:pPr>
      <w:r w:rsidRPr="00101390">
        <w:rPr>
          <w:rFonts w:cs="Calibri"/>
          <w:sz w:val="20"/>
          <w:szCs w:val="20"/>
        </w:rPr>
        <w:t>Al conocer los documentos de CONAC se comprende lo antes mencionado. (Principales reglas de registro y valoración del patrimonio, así como las reglas específicas del registro y valoración del patrimonio</w:t>
      </w:r>
    </w:p>
    <w:p w14:paraId="7ED1C1ED" w14:textId="784B4DD1" w:rsidR="007D1E76" w:rsidRPr="00101390" w:rsidRDefault="007D1E76" w:rsidP="00CB41C4">
      <w:pPr>
        <w:tabs>
          <w:tab w:val="left" w:leader="underscore" w:pos="9639"/>
        </w:tabs>
        <w:spacing w:after="0" w:line="240" w:lineRule="auto"/>
        <w:jc w:val="both"/>
        <w:rPr>
          <w:rFonts w:cs="Calibri"/>
          <w:sz w:val="20"/>
          <w:szCs w:val="20"/>
        </w:rPr>
      </w:pPr>
      <w:r w:rsidRPr="00101390">
        <w:rPr>
          <w:rFonts w:cs="Calibri"/>
          <w:b/>
          <w:sz w:val="20"/>
          <w:szCs w:val="20"/>
        </w:rPr>
        <w:t>c)</w:t>
      </w:r>
      <w:r w:rsidRPr="00101390">
        <w:rPr>
          <w:rFonts w:cs="Calibri"/>
          <w:sz w:val="20"/>
          <w:szCs w:val="20"/>
        </w:rPr>
        <w:t xml:space="preserve"> </w:t>
      </w:r>
      <w:r w:rsidR="00A6346D" w:rsidRPr="00101390">
        <w:rPr>
          <w:rFonts w:cs="Calibri"/>
          <w:sz w:val="20"/>
          <w:szCs w:val="20"/>
        </w:rPr>
        <w:t>Postulados básicos de Contabilidad Gubernamental (PBCG)</w:t>
      </w:r>
      <w:r w:rsidRPr="00101390">
        <w:rPr>
          <w:rFonts w:cs="Calibri"/>
          <w:sz w:val="20"/>
          <w:szCs w:val="20"/>
        </w:rPr>
        <w:t>.</w:t>
      </w:r>
    </w:p>
    <w:p w14:paraId="5009A319" w14:textId="0C0F5DD5" w:rsidR="007D1E76" w:rsidRPr="00101390" w:rsidRDefault="00DA6F1E" w:rsidP="00CB41C4">
      <w:pPr>
        <w:tabs>
          <w:tab w:val="left" w:leader="underscore" w:pos="9639"/>
        </w:tabs>
        <w:spacing w:after="0" w:line="240" w:lineRule="auto"/>
        <w:jc w:val="both"/>
        <w:rPr>
          <w:rFonts w:cs="Calibri"/>
          <w:sz w:val="20"/>
          <w:szCs w:val="20"/>
        </w:rPr>
      </w:pPr>
      <w:r w:rsidRPr="00101390">
        <w:rPr>
          <w:rFonts w:cs="Calibri"/>
          <w:sz w:val="20"/>
          <w:szCs w:val="20"/>
        </w:rPr>
        <w:t xml:space="preserve">Las Bases de Preparación de los Estados Financieros aplican los Postulados Básicos de Registro Contable, el devengo del ingreso del egreso, está considerando dentro de los diferentes rubros de la información financiera. </w:t>
      </w:r>
    </w:p>
    <w:p w14:paraId="3F34EDBC" w14:textId="4B220B05" w:rsidR="006D5F8C" w:rsidRPr="00101390" w:rsidRDefault="007D1E76" w:rsidP="007F5E45">
      <w:pPr>
        <w:tabs>
          <w:tab w:val="left" w:leader="underscore" w:pos="9639"/>
        </w:tabs>
        <w:spacing w:after="0" w:line="240" w:lineRule="auto"/>
        <w:jc w:val="both"/>
        <w:rPr>
          <w:rFonts w:cs="Calibri"/>
          <w:sz w:val="20"/>
          <w:szCs w:val="20"/>
        </w:rPr>
      </w:pPr>
      <w:r w:rsidRPr="00101390">
        <w:rPr>
          <w:rFonts w:cs="Calibri"/>
          <w:b/>
          <w:sz w:val="20"/>
          <w:szCs w:val="20"/>
        </w:rPr>
        <w:t>d)</w:t>
      </w:r>
      <w:r w:rsidRPr="00101390">
        <w:rPr>
          <w:rFonts w:cs="Calibri"/>
          <w:sz w:val="20"/>
          <w:szCs w:val="20"/>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101390">
        <w:rPr>
          <w:rFonts w:cs="Calibri"/>
          <w:sz w:val="20"/>
          <w:szCs w:val="20"/>
        </w:rPr>
        <w:t>Marco Conceptual de Contabilidad Gubernamental (MCCG) y sus modificaciones.</w:t>
      </w:r>
      <w:r w:rsidR="007F5E45" w:rsidRPr="00101390">
        <w:rPr>
          <w:rFonts w:cs="Calibri"/>
          <w:sz w:val="20"/>
          <w:szCs w:val="20"/>
        </w:rPr>
        <w:t xml:space="preserve">  </w:t>
      </w:r>
      <w:r w:rsidR="006D5F8C" w:rsidRPr="00101390">
        <w:rPr>
          <w:rFonts w:cs="Calibri"/>
          <w:sz w:val="20"/>
          <w:szCs w:val="20"/>
        </w:rPr>
        <w:t>No aplicamos dicha normatividad supletoria.</w:t>
      </w:r>
    </w:p>
    <w:p w14:paraId="084AD24A" w14:textId="4A679E5F" w:rsidR="007D1E76" w:rsidRPr="00101390" w:rsidRDefault="007D1E76" w:rsidP="00CB41C4">
      <w:pPr>
        <w:tabs>
          <w:tab w:val="left" w:leader="underscore" w:pos="9639"/>
        </w:tabs>
        <w:spacing w:after="0" w:line="240" w:lineRule="auto"/>
        <w:jc w:val="both"/>
        <w:rPr>
          <w:rFonts w:cs="Calibri"/>
          <w:sz w:val="20"/>
          <w:szCs w:val="20"/>
        </w:rPr>
      </w:pPr>
      <w:r w:rsidRPr="00101390">
        <w:rPr>
          <w:rFonts w:cs="Calibri"/>
          <w:b/>
          <w:sz w:val="20"/>
          <w:szCs w:val="20"/>
        </w:rPr>
        <w:t>e)</w:t>
      </w:r>
      <w:r w:rsidRPr="00101390">
        <w:rPr>
          <w:rFonts w:cs="Calibri"/>
          <w:sz w:val="20"/>
          <w:szCs w:val="20"/>
        </w:rPr>
        <w:t xml:space="preserve"> Para las entidades que por primera vez estén implementando la base </w:t>
      </w:r>
      <w:r w:rsidR="0086420E" w:rsidRPr="00101390">
        <w:rPr>
          <w:rFonts w:cs="Calibri"/>
          <w:sz w:val="20"/>
          <w:szCs w:val="20"/>
        </w:rPr>
        <w:t xml:space="preserve">de </w:t>
      </w:r>
      <w:r w:rsidRPr="00101390">
        <w:rPr>
          <w:rFonts w:cs="Calibri"/>
          <w:sz w:val="20"/>
          <w:szCs w:val="20"/>
        </w:rPr>
        <w:t>devengado de acuerdo a la Ley de Contabilidad, deberán:</w:t>
      </w:r>
    </w:p>
    <w:p w14:paraId="66DA893A" w14:textId="77777777" w:rsidR="007D1E76" w:rsidRPr="00101390" w:rsidRDefault="007D1E76" w:rsidP="00CB41C4">
      <w:pPr>
        <w:tabs>
          <w:tab w:val="left" w:leader="underscore" w:pos="9639"/>
        </w:tabs>
        <w:spacing w:after="0" w:line="240" w:lineRule="auto"/>
        <w:jc w:val="both"/>
        <w:rPr>
          <w:rFonts w:cs="Calibri"/>
          <w:sz w:val="20"/>
          <w:szCs w:val="20"/>
        </w:rPr>
      </w:pPr>
      <w:r w:rsidRPr="00101390">
        <w:rPr>
          <w:rFonts w:cs="Calibri"/>
          <w:sz w:val="20"/>
          <w:szCs w:val="20"/>
        </w:rPr>
        <w:t>*Revelar las nuevas políticas de reconocimiento:</w:t>
      </w:r>
    </w:p>
    <w:p w14:paraId="6BEBABB5" w14:textId="77777777" w:rsidR="007D1E76" w:rsidRPr="00101390" w:rsidRDefault="007D1E76" w:rsidP="00CB41C4">
      <w:pPr>
        <w:tabs>
          <w:tab w:val="left" w:leader="underscore" w:pos="9639"/>
        </w:tabs>
        <w:spacing w:after="0" w:line="240" w:lineRule="auto"/>
        <w:jc w:val="both"/>
        <w:rPr>
          <w:rFonts w:cs="Calibri"/>
          <w:sz w:val="20"/>
          <w:szCs w:val="20"/>
        </w:rPr>
      </w:pPr>
      <w:r w:rsidRPr="00101390">
        <w:rPr>
          <w:rFonts w:cs="Calibri"/>
          <w:sz w:val="20"/>
          <w:szCs w:val="20"/>
        </w:rPr>
        <w:t>*Plan de implementación:</w:t>
      </w:r>
    </w:p>
    <w:p w14:paraId="756D764B" w14:textId="77777777" w:rsidR="007D1E76" w:rsidRPr="00101390" w:rsidRDefault="007D1E76" w:rsidP="00CB41C4">
      <w:pPr>
        <w:tabs>
          <w:tab w:val="left" w:leader="underscore" w:pos="9639"/>
        </w:tabs>
        <w:spacing w:after="0" w:line="240" w:lineRule="auto"/>
        <w:jc w:val="both"/>
        <w:rPr>
          <w:rFonts w:cs="Calibri"/>
          <w:sz w:val="20"/>
          <w:szCs w:val="20"/>
        </w:rPr>
      </w:pPr>
      <w:r w:rsidRPr="00101390">
        <w:rPr>
          <w:rFonts w:cs="Calibri"/>
          <w:sz w:val="20"/>
          <w:szCs w:val="20"/>
        </w:rPr>
        <w:t>*Revelar los cambios en las políticas, la clasificación y medición de las mismas, así como su impacto en la información financiera:</w:t>
      </w:r>
    </w:p>
    <w:p w14:paraId="71521D40" w14:textId="25A82D8F" w:rsidR="006F0687" w:rsidRPr="00101390" w:rsidRDefault="006F0687" w:rsidP="006F0687">
      <w:pPr>
        <w:tabs>
          <w:tab w:val="left" w:leader="underscore" w:pos="9639"/>
        </w:tabs>
        <w:spacing w:after="0" w:line="240" w:lineRule="auto"/>
        <w:jc w:val="both"/>
        <w:rPr>
          <w:rFonts w:cs="Calibri"/>
          <w:sz w:val="20"/>
          <w:szCs w:val="20"/>
        </w:rPr>
      </w:pPr>
      <w:r w:rsidRPr="00101390">
        <w:rPr>
          <w:rFonts w:cs="Calibri"/>
          <w:sz w:val="20"/>
          <w:szCs w:val="20"/>
        </w:rPr>
        <w:t>*</w:t>
      </w:r>
      <w:r w:rsidR="00D546B2" w:rsidRPr="00101390">
        <w:rPr>
          <w:rFonts w:cs="Calibri"/>
          <w:sz w:val="20"/>
          <w:szCs w:val="20"/>
        </w:rPr>
        <w:t>Presentar los últimos estados financieros con la normatividad anteriormente utilizada con las nuevas políticas para fines de comparación en la transición a la base de devengado.</w:t>
      </w:r>
    </w:p>
    <w:p w14:paraId="2119A6EF" w14:textId="5F1BBC80" w:rsidR="007D1E76" w:rsidRPr="00101390" w:rsidRDefault="007F5E45" w:rsidP="00CB41C4">
      <w:pPr>
        <w:tabs>
          <w:tab w:val="left" w:leader="underscore" w:pos="9639"/>
        </w:tabs>
        <w:spacing w:after="0" w:line="240" w:lineRule="auto"/>
        <w:jc w:val="both"/>
        <w:rPr>
          <w:rFonts w:cs="Calibri"/>
          <w:sz w:val="20"/>
          <w:szCs w:val="20"/>
        </w:rPr>
      </w:pPr>
      <w:r w:rsidRPr="00101390">
        <w:rPr>
          <w:rFonts w:cs="Calibri"/>
          <w:sz w:val="20"/>
          <w:szCs w:val="20"/>
        </w:rPr>
        <w:t>Sin información que revelar ya que no es la primera vez que se implementa el devengado</w:t>
      </w:r>
    </w:p>
    <w:p w14:paraId="7025E7E0" w14:textId="4C87F38F" w:rsidR="007D1E76" w:rsidRPr="00101390" w:rsidRDefault="007F699D" w:rsidP="000C3365">
      <w:pPr>
        <w:pStyle w:val="Ttulo2"/>
        <w:rPr>
          <w:rFonts w:cs="Calibri"/>
          <w:b/>
          <w:sz w:val="20"/>
          <w:szCs w:val="20"/>
        </w:rPr>
      </w:pPr>
      <w:bookmarkStart w:id="4" w:name="_Toc161472870"/>
      <w:r w:rsidRPr="00101390">
        <w:rPr>
          <w:rFonts w:asciiTheme="minorHAnsi" w:hAnsiTheme="minorHAnsi" w:cstheme="minorHAnsi"/>
          <w:b/>
          <w:color w:val="auto"/>
          <w:sz w:val="20"/>
          <w:szCs w:val="20"/>
        </w:rPr>
        <w:t>5</w:t>
      </w:r>
      <w:r w:rsidR="007D1E76" w:rsidRPr="00101390">
        <w:rPr>
          <w:rFonts w:asciiTheme="minorHAnsi" w:hAnsiTheme="minorHAnsi" w:cstheme="minorHAnsi"/>
          <w:b/>
          <w:color w:val="auto"/>
          <w:sz w:val="20"/>
          <w:szCs w:val="20"/>
        </w:rPr>
        <w:t>. Políticas de</w:t>
      </w:r>
      <w:r w:rsidR="00E00323" w:rsidRPr="00101390">
        <w:rPr>
          <w:rFonts w:asciiTheme="minorHAnsi" w:hAnsiTheme="minorHAnsi" w:cstheme="minorHAnsi"/>
          <w:b/>
          <w:color w:val="auto"/>
          <w:sz w:val="20"/>
          <w:szCs w:val="20"/>
        </w:rPr>
        <w:t xml:space="preserve"> Contabilidad Significativas:</w:t>
      </w:r>
      <w:bookmarkEnd w:id="4"/>
    </w:p>
    <w:p w14:paraId="685C2AC3" w14:textId="77777777" w:rsidR="00AF4375" w:rsidRPr="00101390" w:rsidRDefault="00AF4375" w:rsidP="00AF4375">
      <w:pPr>
        <w:tabs>
          <w:tab w:val="left" w:leader="underscore" w:pos="9639"/>
        </w:tabs>
        <w:spacing w:after="0" w:line="240" w:lineRule="auto"/>
        <w:jc w:val="both"/>
        <w:rPr>
          <w:rFonts w:cs="Calibri"/>
          <w:sz w:val="20"/>
          <w:szCs w:val="20"/>
        </w:rPr>
      </w:pPr>
      <w:r w:rsidRPr="00101390">
        <w:rPr>
          <w:rFonts w:cs="Calibri"/>
          <w:sz w:val="20"/>
          <w:szCs w:val="20"/>
        </w:rPr>
        <w:t xml:space="preserve">Son los principios, bases, reglas y procedimientos específicos adoptados por el ente público en la elaboración y presentación de sus estados financieros. </w:t>
      </w:r>
    </w:p>
    <w:p w14:paraId="793D8065" w14:textId="32E17174" w:rsidR="007D1E76" w:rsidRPr="00101390" w:rsidRDefault="00AF4375" w:rsidP="00AF4375">
      <w:pPr>
        <w:tabs>
          <w:tab w:val="left" w:leader="underscore" w:pos="9639"/>
        </w:tabs>
        <w:spacing w:after="0" w:line="240" w:lineRule="auto"/>
        <w:jc w:val="both"/>
        <w:rPr>
          <w:rFonts w:cs="Calibri"/>
          <w:sz w:val="20"/>
          <w:szCs w:val="20"/>
        </w:rPr>
      </w:pPr>
      <w:r w:rsidRPr="00101390">
        <w:rPr>
          <w:rFonts w:cs="Calibri"/>
          <w:sz w:val="20"/>
          <w:szCs w:val="20"/>
        </w:rPr>
        <w:t>El ente público seleccionará y aplicará sus políticas contables de manera congruente para transacciones, otros eventos y condiciones que sean similares.</w:t>
      </w:r>
    </w:p>
    <w:p w14:paraId="4773A4FE" w14:textId="77777777" w:rsidR="007D1E76" w:rsidRPr="00101390" w:rsidRDefault="007D1E76" w:rsidP="00CB41C4">
      <w:pPr>
        <w:tabs>
          <w:tab w:val="left" w:leader="underscore" w:pos="9639"/>
        </w:tabs>
        <w:spacing w:after="0" w:line="240" w:lineRule="auto"/>
        <w:jc w:val="both"/>
        <w:rPr>
          <w:rFonts w:cs="Calibri"/>
          <w:sz w:val="20"/>
          <w:szCs w:val="20"/>
        </w:rPr>
      </w:pPr>
      <w:r w:rsidRPr="00101390">
        <w:rPr>
          <w:rFonts w:cs="Calibri"/>
          <w:sz w:val="20"/>
          <w:szCs w:val="20"/>
        </w:rPr>
        <w:t>Se informará sobre:</w:t>
      </w:r>
    </w:p>
    <w:p w14:paraId="6073F87B" w14:textId="088E4F59" w:rsidR="007D1E76" w:rsidRPr="00101390" w:rsidRDefault="007D1E76" w:rsidP="00CB41C4">
      <w:pPr>
        <w:tabs>
          <w:tab w:val="left" w:leader="underscore" w:pos="9639"/>
        </w:tabs>
        <w:spacing w:after="0" w:line="240" w:lineRule="auto"/>
        <w:jc w:val="both"/>
        <w:rPr>
          <w:rFonts w:cs="Calibri"/>
          <w:sz w:val="20"/>
          <w:szCs w:val="20"/>
        </w:rPr>
      </w:pPr>
      <w:r w:rsidRPr="00101390">
        <w:rPr>
          <w:rFonts w:cs="Calibri"/>
          <w:b/>
          <w:sz w:val="20"/>
          <w:szCs w:val="20"/>
        </w:rPr>
        <w:t>a)</w:t>
      </w:r>
      <w:r w:rsidRPr="00101390">
        <w:rPr>
          <w:rFonts w:cs="Calibri"/>
          <w:sz w:val="20"/>
          <w:szCs w:val="20"/>
        </w:rPr>
        <w:t xml:space="preserve"> </w:t>
      </w:r>
      <w:r w:rsidR="00FC1AE8" w:rsidRPr="00101390">
        <w:rPr>
          <w:rFonts w:cs="Calibri"/>
          <w:sz w:val="20"/>
          <w:szCs w:val="20"/>
        </w:rPr>
        <w:t>Actualización: se informará del método utilizado para la actualización del valor de los activos, pasivos y Hacienda Pública/Patrimonio y las razones de dicha elección. Así como informar de la desconexión o reconexión inflacionaria</w:t>
      </w:r>
      <w:r w:rsidRPr="00101390">
        <w:rPr>
          <w:rFonts w:cs="Calibri"/>
          <w:sz w:val="20"/>
          <w:szCs w:val="20"/>
        </w:rPr>
        <w:t>:</w:t>
      </w:r>
    </w:p>
    <w:p w14:paraId="7CBDE982" w14:textId="77777777" w:rsidR="00ED37D1" w:rsidRPr="00101390" w:rsidRDefault="006D5F8C" w:rsidP="00ED37D1">
      <w:pPr>
        <w:spacing w:after="0" w:line="240" w:lineRule="auto"/>
        <w:jc w:val="both"/>
        <w:rPr>
          <w:rFonts w:cs="Calibri"/>
          <w:sz w:val="20"/>
          <w:szCs w:val="20"/>
        </w:rPr>
      </w:pPr>
      <w:r w:rsidRPr="00101390">
        <w:rPr>
          <w:rFonts w:cs="Calibri"/>
          <w:sz w:val="20"/>
          <w:szCs w:val="20"/>
        </w:rPr>
        <w:t>A la fecha no se ha implementado los criterios de actualización porque no teníamos sistema, ahora con la integración al sistema rector, solicitaremos la actualización por actuario en el caso de los inmuebles, apegándonos a las instrucciones que nos dicte la Dirección de Control Patrimonial, así como la DGCG.</w:t>
      </w:r>
    </w:p>
    <w:p w14:paraId="761C47D7" w14:textId="1CB40B00" w:rsidR="007D1E76" w:rsidRPr="00101390" w:rsidRDefault="007D1E76" w:rsidP="00ED37D1">
      <w:pPr>
        <w:spacing w:after="0" w:line="240" w:lineRule="auto"/>
        <w:jc w:val="both"/>
        <w:rPr>
          <w:rFonts w:cs="Calibri"/>
          <w:sz w:val="20"/>
          <w:szCs w:val="20"/>
        </w:rPr>
      </w:pPr>
      <w:r w:rsidRPr="00101390">
        <w:rPr>
          <w:rFonts w:cs="Calibri"/>
          <w:b/>
          <w:sz w:val="20"/>
          <w:szCs w:val="20"/>
        </w:rPr>
        <w:t>b)</w:t>
      </w:r>
      <w:r w:rsidRPr="00101390">
        <w:rPr>
          <w:rFonts w:cs="Calibri"/>
          <w:sz w:val="20"/>
          <w:szCs w:val="20"/>
        </w:rPr>
        <w:t xml:space="preserve"> </w:t>
      </w:r>
      <w:r w:rsidR="001C710C" w:rsidRPr="00101390">
        <w:rPr>
          <w:rFonts w:cs="Calibri"/>
          <w:sz w:val="20"/>
          <w:szCs w:val="20"/>
        </w:rPr>
        <w:t>Informar sobre la realización de operaciones en el extranjero y de sus efectos en la información financiera gubernamental, considerando entre otros el importe de las variaciones cambiarias reconocidas en el resultado (ahorro o desahorro)</w:t>
      </w:r>
      <w:r w:rsidRPr="00101390">
        <w:rPr>
          <w:rFonts w:cs="Calibri"/>
          <w:sz w:val="20"/>
          <w:szCs w:val="20"/>
        </w:rPr>
        <w:t>:</w:t>
      </w:r>
      <w:r w:rsidR="007F5E45" w:rsidRPr="00101390">
        <w:rPr>
          <w:rFonts w:cs="Calibri"/>
          <w:sz w:val="20"/>
          <w:szCs w:val="20"/>
        </w:rPr>
        <w:t xml:space="preserve">                              </w:t>
      </w:r>
      <w:r w:rsidR="006D5F8C" w:rsidRPr="00101390">
        <w:rPr>
          <w:rFonts w:cs="Calibri"/>
          <w:sz w:val="20"/>
          <w:szCs w:val="20"/>
        </w:rPr>
        <w:t>Sin información que revelar</w:t>
      </w:r>
    </w:p>
    <w:p w14:paraId="1C1D647B" w14:textId="20CB700C" w:rsidR="007D1E76" w:rsidRPr="00101390" w:rsidRDefault="007D1E76" w:rsidP="00CB41C4">
      <w:pPr>
        <w:tabs>
          <w:tab w:val="left" w:leader="underscore" w:pos="9639"/>
        </w:tabs>
        <w:spacing w:after="0" w:line="240" w:lineRule="auto"/>
        <w:jc w:val="both"/>
        <w:rPr>
          <w:rFonts w:cs="Calibri"/>
          <w:sz w:val="20"/>
          <w:szCs w:val="20"/>
        </w:rPr>
      </w:pPr>
      <w:r w:rsidRPr="00101390">
        <w:rPr>
          <w:rFonts w:cs="Calibri"/>
          <w:b/>
          <w:sz w:val="20"/>
          <w:szCs w:val="20"/>
        </w:rPr>
        <w:t>c)</w:t>
      </w:r>
      <w:r w:rsidRPr="00101390">
        <w:rPr>
          <w:rFonts w:cs="Calibri"/>
          <w:sz w:val="20"/>
          <w:szCs w:val="20"/>
        </w:rPr>
        <w:t xml:space="preserve"> </w:t>
      </w:r>
      <w:r w:rsidR="00E9132F" w:rsidRPr="00101390">
        <w:rPr>
          <w:rFonts w:cs="Calibri"/>
          <w:sz w:val="20"/>
          <w:szCs w:val="20"/>
        </w:rPr>
        <w:t>Método de valuación de la inversión en acciones de Compañías subsidiarias no consolidadas y asociadas</w:t>
      </w:r>
      <w:r w:rsidRPr="00101390">
        <w:rPr>
          <w:rFonts w:cs="Calibri"/>
          <w:sz w:val="20"/>
          <w:szCs w:val="20"/>
        </w:rPr>
        <w:t>:</w:t>
      </w:r>
      <w:r w:rsidR="007F5E45" w:rsidRPr="00101390">
        <w:rPr>
          <w:rFonts w:cs="Calibri"/>
          <w:sz w:val="20"/>
          <w:szCs w:val="20"/>
        </w:rPr>
        <w:t xml:space="preserve">           </w:t>
      </w:r>
      <w:r w:rsidR="006D5F8C" w:rsidRPr="00101390">
        <w:rPr>
          <w:rFonts w:cs="Calibri"/>
          <w:sz w:val="20"/>
          <w:szCs w:val="20"/>
        </w:rPr>
        <w:t>Sin información que revelar</w:t>
      </w:r>
    </w:p>
    <w:p w14:paraId="788115A4" w14:textId="0AA7723B" w:rsidR="007D1E76" w:rsidRPr="00101390" w:rsidRDefault="007D1E76" w:rsidP="00CB41C4">
      <w:pPr>
        <w:tabs>
          <w:tab w:val="left" w:leader="underscore" w:pos="9639"/>
        </w:tabs>
        <w:spacing w:after="0" w:line="240" w:lineRule="auto"/>
        <w:jc w:val="both"/>
        <w:rPr>
          <w:rFonts w:cs="Calibri"/>
          <w:sz w:val="20"/>
          <w:szCs w:val="20"/>
        </w:rPr>
      </w:pPr>
      <w:r w:rsidRPr="00101390">
        <w:rPr>
          <w:rFonts w:cs="Calibri"/>
          <w:b/>
          <w:sz w:val="20"/>
          <w:szCs w:val="20"/>
        </w:rPr>
        <w:t>d)</w:t>
      </w:r>
      <w:r w:rsidRPr="00101390">
        <w:rPr>
          <w:rFonts w:cs="Calibri"/>
          <w:sz w:val="20"/>
          <w:szCs w:val="20"/>
        </w:rPr>
        <w:t xml:space="preserve"> Sistema y método de valuación de inventarios y costo de lo vendido:</w:t>
      </w:r>
      <w:r w:rsidR="007F5E45" w:rsidRPr="00101390">
        <w:rPr>
          <w:rFonts w:cs="Calibri"/>
          <w:sz w:val="20"/>
          <w:szCs w:val="20"/>
        </w:rPr>
        <w:t xml:space="preserve">                                                                           </w:t>
      </w:r>
      <w:r w:rsidR="006D5F8C" w:rsidRPr="00101390">
        <w:rPr>
          <w:rFonts w:cs="Calibri"/>
          <w:sz w:val="20"/>
          <w:szCs w:val="20"/>
        </w:rPr>
        <w:t>Sin información que revelar</w:t>
      </w:r>
    </w:p>
    <w:p w14:paraId="3488266C" w14:textId="0104E384" w:rsidR="007D1E76" w:rsidRPr="00101390" w:rsidRDefault="007D1E76" w:rsidP="00CB41C4">
      <w:pPr>
        <w:tabs>
          <w:tab w:val="left" w:leader="underscore" w:pos="9639"/>
        </w:tabs>
        <w:spacing w:after="0" w:line="240" w:lineRule="auto"/>
        <w:jc w:val="both"/>
        <w:rPr>
          <w:rFonts w:cs="Calibri"/>
          <w:sz w:val="20"/>
          <w:szCs w:val="20"/>
        </w:rPr>
      </w:pPr>
      <w:r w:rsidRPr="00101390">
        <w:rPr>
          <w:rFonts w:cs="Calibri"/>
          <w:b/>
          <w:sz w:val="20"/>
          <w:szCs w:val="20"/>
        </w:rPr>
        <w:t>e)</w:t>
      </w:r>
      <w:r w:rsidRPr="00101390">
        <w:rPr>
          <w:rFonts w:cs="Calibri"/>
          <w:sz w:val="20"/>
          <w:szCs w:val="20"/>
        </w:rPr>
        <w:t xml:space="preserve"> Beneficios a empleados: revelar el cálculo de la reserva actuarial, valor presente de los ingresos esperados comparado con el valor presente de la estimación de gastos tanto de los beneficiarios actuales como futuros:</w:t>
      </w:r>
      <w:r w:rsidR="007F5E45" w:rsidRPr="00101390">
        <w:rPr>
          <w:rFonts w:cs="Calibri"/>
          <w:sz w:val="20"/>
          <w:szCs w:val="20"/>
        </w:rPr>
        <w:t xml:space="preserve">                                                                       </w:t>
      </w:r>
      <w:r w:rsidR="006D5F8C" w:rsidRPr="00101390">
        <w:rPr>
          <w:rFonts w:cs="Calibri"/>
          <w:sz w:val="20"/>
          <w:szCs w:val="20"/>
        </w:rPr>
        <w:t>Sin información que revelar</w:t>
      </w:r>
    </w:p>
    <w:p w14:paraId="4E40100B" w14:textId="44437A8D" w:rsidR="007D1E76" w:rsidRPr="00101390" w:rsidRDefault="007D1E76" w:rsidP="00CB41C4">
      <w:pPr>
        <w:tabs>
          <w:tab w:val="left" w:leader="underscore" w:pos="9639"/>
        </w:tabs>
        <w:spacing w:after="0" w:line="240" w:lineRule="auto"/>
        <w:jc w:val="both"/>
        <w:rPr>
          <w:rFonts w:cs="Calibri"/>
          <w:sz w:val="20"/>
          <w:szCs w:val="20"/>
        </w:rPr>
      </w:pPr>
      <w:r w:rsidRPr="00101390">
        <w:rPr>
          <w:rFonts w:cs="Calibri"/>
          <w:b/>
          <w:sz w:val="20"/>
          <w:szCs w:val="20"/>
        </w:rPr>
        <w:t>f)</w:t>
      </w:r>
      <w:r w:rsidRPr="00101390">
        <w:rPr>
          <w:rFonts w:cs="Calibri"/>
          <w:sz w:val="20"/>
          <w:szCs w:val="20"/>
        </w:rPr>
        <w:t xml:space="preserve"> Provisiones: objetivo de su creación, monto y plazo:</w:t>
      </w:r>
      <w:r w:rsidR="007F5E45" w:rsidRPr="00101390">
        <w:rPr>
          <w:rFonts w:cs="Calibri"/>
          <w:sz w:val="20"/>
          <w:szCs w:val="20"/>
        </w:rPr>
        <w:t xml:space="preserve">                                                                                                         </w:t>
      </w:r>
      <w:r w:rsidR="00EA5066" w:rsidRPr="00101390">
        <w:rPr>
          <w:rFonts w:cs="Calibri"/>
          <w:sz w:val="20"/>
          <w:szCs w:val="20"/>
        </w:rPr>
        <w:t>Sin información que revelar</w:t>
      </w:r>
    </w:p>
    <w:p w14:paraId="4C613419" w14:textId="57DD9A22" w:rsidR="007D1E76" w:rsidRPr="00101390" w:rsidRDefault="007D1E76" w:rsidP="00CB41C4">
      <w:pPr>
        <w:tabs>
          <w:tab w:val="left" w:leader="underscore" w:pos="9639"/>
        </w:tabs>
        <w:spacing w:after="0" w:line="240" w:lineRule="auto"/>
        <w:jc w:val="both"/>
        <w:rPr>
          <w:rFonts w:cs="Calibri"/>
          <w:sz w:val="20"/>
          <w:szCs w:val="20"/>
        </w:rPr>
      </w:pPr>
      <w:r w:rsidRPr="00101390">
        <w:rPr>
          <w:rFonts w:cs="Calibri"/>
          <w:b/>
          <w:sz w:val="20"/>
          <w:szCs w:val="20"/>
        </w:rPr>
        <w:t>g)</w:t>
      </w:r>
      <w:r w:rsidRPr="00101390">
        <w:rPr>
          <w:rFonts w:cs="Calibri"/>
          <w:sz w:val="20"/>
          <w:szCs w:val="20"/>
        </w:rPr>
        <w:t xml:space="preserve"> Reservas: objetivo de su creación, monto y plazo:</w:t>
      </w:r>
      <w:r w:rsidR="007F5E45" w:rsidRPr="00101390">
        <w:rPr>
          <w:rFonts w:cs="Calibri"/>
          <w:sz w:val="20"/>
          <w:szCs w:val="20"/>
        </w:rPr>
        <w:t xml:space="preserve">                                                                                                             </w:t>
      </w:r>
      <w:r w:rsidR="00EA5066" w:rsidRPr="00101390">
        <w:rPr>
          <w:rFonts w:cs="Calibri"/>
          <w:sz w:val="20"/>
          <w:szCs w:val="20"/>
        </w:rPr>
        <w:t>Sin información que revelar</w:t>
      </w:r>
    </w:p>
    <w:p w14:paraId="14696C24" w14:textId="18808DFA" w:rsidR="007D1E76" w:rsidRPr="00101390" w:rsidRDefault="007D1E76" w:rsidP="00CB41C4">
      <w:pPr>
        <w:tabs>
          <w:tab w:val="left" w:leader="underscore" w:pos="9639"/>
        </w:tabs>
        <w:spacing w:after="0" w:line="240" w:lineRule="auto"/>
        <w:jc w:val="both"/>
        <w:rPr>
          <w:rFonts w:cs="Calibri"/>
          <w:sz w:val="20"/>
          <w:szCs w:val="20"/>
        </w:rPr>
      </w:pPr>
      <w:r w:rsidRPr="00101390">
        <w:rPr>
          <w:rFonts w:cs="Calibri"/>
          <w:b/>
          <w:sz w:val="20"/>
          <w:szCs w:val="20"/>
        </w:rPr>
        <w:t>h)</w:t>
      </w:r>
      <w:r w:rsidRPr="00101390">
        <w:rPr>
          <w:rFonts w:cs="Calibri"/>
          <w:sz w:val="20"/>
          <w:szCs w:val="20"/>
        </w:rPr>
        <w:t xml:space="preserve"> Cambios en políticas contables y corrección de errores junto con la revelación de los efectos que se tendrá en la información financiera del ente público, ya sea retrospectivos o prospectivos:</w:t>
      </w:r>
      <w:r w:rsidR="007F5E45" w:rsidRPr="00101390">
        <w:rPr>
          <w:rFonts w:cs="Calibri"/>
          <w:sz w:val="20"/>
          <w:szCs w:val="20"/>
        </w:rPr>
        <w:t xml:space="preserve">                                                                                                </w:t>
      </w:r>
      <w:r w:rsidR="00FD6088">
        <w:rPr>
          <w:rFonts w:cs="Calibri"/>
          <w:sz w:val="20"/>
          <w:szCs w:val="20"/>
        </w:rPr>
        <w:t xml:space="preserve">                                                                              </w:t>
      </w:r>
      <w:r w:rsidR="00EA5066" w:rsidRPr="00101390">
        <w:rPr>
          <w:rFonts w:cs="Calibri"/>
          <w:sz w:val="20"/>
          <w:szCs w:val="20"/>
          <w:lang w:val="es-ES" w:eastAsia="es-ES"/>
        </w:rPr>
        <w:t>Sin información que revelar en el periodo</w:t>
      </w:r>
    </w:p>
    <w:p w14:paraId="12C8FA9A" w14:textId="77777777" w:rsidR="007D1E76" w:rsidRPr="00101390" w:rsidRDefault="007D1E76" w:rsidP="00CB41C4">
      <w:pPr>
        <w:tabs>
          <w:tab w:val="left" w:leader="underscore" w:pos="9639"/>
        </w:tabs>
        <w:spacing w:after="0" w:line="240" w:lineRule="auto"/>
        <w:jc w:val="both"/>
        <w:rPr>
          <w:rFonts w:cs="Calibri"/>
          <w:sz w:val="20"/>
          <w:szCs w:val="20"/>
        </w:rPr>
      </w:pPr>
      <w:r w:rsidRPr="00101390">
        <w:rPr>
          <w:rFonts w:cs="Calibri"/>
          <w:b/>
          <w:sz w:val="20"/>
          <w:szCs w:val="20"/>
        </w:rPr>
        <w:t>i)</w:t>
      </w:r>
      <w:r w:rsidRPr="00101390">
        <w:rPr>
          <w:rFonts w:cs="Calibri"/>
          <w:sz w:val="20"/>
          <w:szCs w:val="20"/>
        </w:rPr>
        <w:t xml:space="preserve"> Reclasificaciones: Se deben revelar todos aquellos movimientos entre cuentas por efectos de cambios en los tipos de operaciones:</w:t>
      </w:r>
    </w:p>
    <w:p w14:paraId="4342A110" w14:textId="5F173607" w:rsidR="007D1E76" w:rsidRPr="00101390" w:rsidRDefault="00552AA4" w:rsidP="00CB41C4">
      <w:pPr>
        <w:tabs>
          <w:tab w:val="left" w:leader="underscore" w:pos="9639"/>
        </w:tabs>
        <w:spacing w:after="0" w:line="240" w:lineRule="auto"/>
        <w:jc w:val="both"/>
        <w:rPr>
          <w:rFonts w:cs="Calibri"/>
          <w:sz w:val="20"/>
          <w:szCs w:val="20"/>
        </w:rPr>
      </w:pPr>
      <w:r w:rsidRPr="00101390">
        <w:rPr>
          <w:rFonts w:ascii="Arial" w:hAnsi="Arial" w:cs="Arial"/>
          <w:sz w:val="20"/>
          <w:szCs w:val="20"/>
          <w:lang w:val="es-ES" w:eastAsia="es-ES"/>
        </w:rPr>
        <w:lastRenderedPageBreak/>
        <w:t xml:space="preserve">                                                                                                                              </w:t>
      </w:r>
      <w:r w:rsidR="00FD6088">
        <w:rPr>
          <w:rFonts w:ascii="Arial" w:hAnsi="Arial" w:cs="Arial"/>
          <w:sz w:val="20"/>
          <w:szCs w:val="20"/>
          <w:lang w:val="es-ES" w:eastAsia="es-ES"/>
        </w:rPr>
        <w:t xml:space="preserve">                  </w:t>
      </w:r>
      <w:r w:rsidRPr="00101390">
        <w:rPr>
          <w:rFonts w:ascii="Arial" w:hAnsi="Arial" w:cs="Arial"/>
          <w:sz w:val="20"/>
          <w:szCs w:val="20"/>
          <w:lang w:val="es-ES" w:eastAsia="es-ES"/>
        </w:rPr>
        <w:t xml:space="preserve"> </w:t>
      </w:r>
      <w:r w:rsidR="00EA5066" w:rsidRPr="00101390">
        <w:rPr>
          <w:rFonts w:ascii="Arial" w:hAnsi="Arial" w:cs="Arial"/>
          <w:sz w:val="20"/>
          <w:szCs w:val="20"/>
          <w:lang w:val="es-ES" w:eastAsia="es-ES"/>
        </w:rPr>
        <w:t>Sin información que revelar en el periodo</w:t>
      </w:r>
    </w:p>
    <w:p w14:paraId="7D06B360" w14:textId="7F7AAC7A" w:rsidR="007D1E76" w:rsidRPr="00101390" w:rsidRDefault="007D1E76" w:rsidP="00CB41C4">
      <w:pPr>
        <w:tabs>
          <w:tab w:val="left" w:leader="underscore" w:pos="9639"/>
        </w:tabs>
        <w:spacing w:after="0" w:line="240" w:lineRule="auto"/>
        <w:jc w:val="both"/>
        <w:rPr>
          <w:rFonts w:cs="Calibri"/>
          <w:sz w:val="20"/>
          <w:szCs w:val="20"/>
        </w:rPr>
      </w:pPr>
      <w:r w:rsidRPr="00101390">
        <w:rPr>
          <w:rFonts w:cs="Calibri"/>
          <w:b/>
          <w:sz w:val="20"/>
          <w:szCs w:val="20"/>
        </w:rPr>
        <w:t>j)</w:t>
      </w:r>
      <w:r w:rsidRPr="00101390">
        <w:rPr>
          <w:rFonts w:cs="Calibri"/>
          <w:sz w:val="20"/>
          <w:szCs w:val="20"/>
        </w:rPr>
        <w:t xml:space="preserve"> Depuración y cancelación de saldos:</w:t>
      </w:r>
      <w:r w:rsidR="007F5E45" w:rsidRPr="00101390">
        <w:rPr>
          <w:rFonts w:cs="Calibri"/>
          <w:sz w:val="20"/>
          <w:szCs w:val="20"/>
        </w:rPr>
        <w:t xml:space="preserve">                                                                                                              </w:t>
      </w:r>
      <w:r w:rsidR="00EA5066" w:rsidRPr="00101390">
        <w:rPr>
          <w:rFonts w:ascii="Arial" w:hAnsi="Arial" w:cs="Arial"/>
          <w:sz w:val="20"/>
          <w:szCs w:val="20"/>
          <w:lang w:val="es-ES" w:eastAsia="es-ES"/>
        </w:rPr>
        <w:t>Sin información que revelar en el periodo</w:t>
      </w:r>
    </w:p>
    <w:p w14:paraId="2CA8BAC1" w14:textId="16AB8AA7" w:rsidR="007D1E76" w:rsidRPr="00101390" w:rsidRDefault="003E6C64" w:rsidP="000C3365">
      <w:pPr>
        <w:pStyle w:val="Ttulo2"/>
        <w:rPr>
          <w:rFonts w:asciiTheme="minorHAnsi" w:hAnsiTheme="minorHAnsi" w:cstheme="minorHAnsi"/>
          <w:b/>
          <w:color w:val="auto"/>
          <w:sz w:val="20"/>
          <w:szCs w:val="20"/>
        </w:rPr>
      </w:pPr>
      <w:bookmarkStart w:id="5" w:name="_Toc161472871"/>
      <w:r w:rsidRPr="00101390">
        <w:rPr>
          <w:rFonts w:asciiTheme="minorHAnsi" w:hAnsiTheme="minorHAnsi" w:cstheme="minorHAnsi"/>
          <w:b/>
          <w:color w:val="auto"/>
          <w:sz w:val="20"/>
          <w:szCs w:val="20"/>
        </w:rPr>
        <w:t>6</w:t>
      </w:r>
      <w:r w:rsidR="007D1E76" w:rsidRPr="00101390">
        <w:rPr>
          <w:rFonts w:asciiTheme="minorHAnsi" w:hAnsiTheme="minorHAnsi" w:cstheme="minorHAnsi"/>
          <w:b/>
          <w:color w:val="auto"/>
          <w:sz w:val="20"/>
          <w:szCs w:val="20"/>
        </w:rPr>
        <w:t>. Posición en Moneda Extranjera y Pro</w:t>
      </w:r>
      <w:r w:rsidR="00E00323" w:rsidRPr="00101390">
        <w:rPr>
          <w:rFonts w:asciiTheme="minorHAnsi" w:hAnsiTheme="minorHAnsi" w:cstheme="minorHAnsi"/>
          <w:b/>
          <w:color w:val="auto"/>
          <w:sz w:val="20"/>
          <w:szCs w:val="20"/>
        </w:rPr>
        <w:t>tección por Riesgo Cambiario:</w:t>
      </w:r>
      <w:bookmarkEnd w:id="5"/>
    </w:p>
    <w:p w14:paraId="12C73011" w14:textId="77777777" w:rsidR="007D1E76" w:rsidRPr="00101390" w:rsidRDefault="007D1E76" w:rsidP="00CB41C4">
      <w:pPr>
        <w:tabs>
          <w:tab w:val="left" w:leader="underscore" w:pos="9639"/>
        </w:tabs>
        <w:spacing w:after="0" w:line="240" w:lineRule="auto"/>
        <w:jc w:val="both"/>
        <w:rPr>
          <w:rFonts w:cs="Calibri"/>
          <w:sz w:val="20"/>
          <w:szCs w:val="20"/>
        </w:rPr>
      </w:pPr>
      <w:r w:rsidRPr="00101390">
        <w:rPr>
          <w:rFonts w:cs="Calibri"/>
          <w:sz w:val="20"/>
          <w:szCs w:val="20"/>
        </w:rPr>
        <w:t>Se informará sobre:</w:t>
      </w:r>
    </w:p>
    <w:p w14:paraId="20464C79" w14:textId="15E5A127" w:rsidR="007D1E76" w:rsidRPr="00101390" w:rsidRDefault="007D1E76" w:rsidP="00CB41C4">
      <w:pPr>
        <w:tabs>
          <w:tab w:val="left" w:leader="underscore" w:pos="9639"/>
        </w:tabs>
        <w:spacing w:after="0" w:line="240" w:lineRule="auto"/>
        <w:jc w:val="both"/>
        <w:rPr>
          <w:rFonts w:cs="Calibri"/>
          <w:sz w:val="20"/>
          <w:szCs w:val="20"/>
        </w:rPr>
      </w:pPr>
      <w:r w:rsidRPr="00101390">
        <w:rPr>
          <w:rFonts w:cs="Calibri"/>
          <w:b/>
          <w:sz w:val="20"/>
          <w:szCs w:val="20"/>
        </w:rPr>
        <w:t>a)</w:t>
      </w:r>
      <w:r w:rsidRPr="00101390">
        <w:rPr>
          <w:rFonts w:cs="Calibri"/>
          <w:sz w:val="20"/>
          <w:szCs w:val="20"/>
        </w:rPr>
        <w:t xml:space="preserve"> Activos en moneda extranjera:</w:t>
      </w:r>
      <w:r w:rsidR="007F5E45" w:rsidRPr="00101390">
        <w:rPr>
          <w:rFonts w:cs="Calibri"/>
          <w:sz w:val="20"/>
          <w:szCs w:val="20"/>
        </w:rPr>
        <w:t xml:space="preserve">                                                                                                                       </w:t>
      </w:r>
      <w:r w:rsidR="00EA5066" w:rsidRPr="00101390">
        <w:rPr>
          <w:rFonts w:ascii="Arial" w:hAnsi="Arial" w:cs="Arial"/>
          <w:sz w:val="20"/>
          <w:szCs w:val="20"/>
          <w:lang w:val="es-ES" w:eastAsia="es-ES"/>
        </w:rPr>
        <w:t>Sin información que revelar en el periodo</w:t>
      </w:r>
    </w:p>
    <w:p w14:paraId="22EC0EC7" w14:textId="0E04E191" w:rsidR="007D1E76" w:rsidRPr="00101390" w:rsidRDefault="007D1E76" w:rsidP="00CB41C4">
      <w:pPr>
        <w:tabs>
          <w:tab w:val="left" w:leader="underscore" w:pos="9639"/>
        </w:tabs>
        <w:spacing w:after="0" w:line="240" w:lineRule="auto"/>
        <w:jc w:val="both"/>
        <w:rPr>
          <w:rFonts w:cs="Calibri"/>
          <w:sz w:val="20"/>
          <w:szCs w:val="20"/>
        </w:rPr>
      </w:pPr>
      <w:r w:rsidRPr="00101390">
        <w:rPr>
          <w:rFonts w:cs="Calibri"/>
          <w:b/>
          <w:sz w:val="20"/>
          <w:szCs w:val="20"/>
        </w:rPr>
        <w:t>b)</w:t>
      </w:r>
      <w:r w:rsidRPr="00101390">
        <w:rPr>
          <w:rFonts w:cs="Calibri"/>
          <w:sz w:val="20"/>
          <w:szCs w:val="20"/>
        </w:rPr>
        <w:t xml:space="preserve"> Pasivos en moneda extranjera:</w:t>
      </w:r>
      <w:r w:rsidR="007F5E45" w:rsidRPr="00101390">
        <w:rPr>
          <w:rFonts w:cs="Calibri"/>
          <w:sz w:val="20"/>
          <w:szCs w:val="20"/>
        </w:rPr>
        <w:t xml:space="preserve">                                                                                                                       </w:t>
      </w:r>
      <w:r w:rsidR="00EA5066" w:rsidRPr="00101390">
        <w:rPr>
          <w:rFonts w:ascii="Arial" w:hAnsi="Arial" w:cs="Arial"/>
          <w:sz w:val="20"/>
          <w:szCs w:val="20"/>
          <w:lang w:val="es-ES" w:eastAsia="es-ES"/>
        </w:rPr>
        <w:t>Sin información que revelar en el periodo</w:t>
      </w:r>
    </w:p>
    <w:p w14:paraId="261C502E" w14:textId="103E8D4C" w:rsidR="007D1E76" w:rsidRPr="00101390" w:rsidRDefault="007D1E76" w:rsidP="00CB41C4">
      <w:pPr>
        <w:tabs>
          <w:tab w:val="left" w:leader="underscore" w:pos="9639"/>
        </w:tabs>
        <w:spacing w:after="0" w:line="240" w:lineRule="auto"/>
        <w:jc w:val="both"/>
        <w:rPr>
          <w:rFonts w:cs="Calibri"/>
          <w:sz w:val="20"/>
          <w:szCs w:val="20"/>
        </w:rPr>
      </w:pPr>
      <w:r w:rsidRPr="00101390">
        <w:rPr>
          <w:rFonts w:cs="Calibri"/>
          <w:b/>
          <w:sz w:val="20"/>
          <w:szCs w:val="20"/>
        </w:rPr>
        <w:t xml:space="preserve">c) </w:t>
      </w:r>
      <w:r w:rsidRPr="00101390">
        <w:rPr>
          <w:rFonts w:cs="Calibri"/>
          <w:sz w:val="20"/>
          <w:szCs w:val="20"/>
        </w:rPr>
        <w:t>Posición en moneda extranjera:</w:t>
      </w:r>
      <w:r w:rsidR="007F5E45" w:rsidRPr="00101390">
        <w:rPr>
          <w:rFonts w:cs="Calibri"/>
          <w:sz w:val="20"/>
          <w:szCs w:val="20"/>
        </w:rPr>
        <w:t xml:space="preserve">                                                                                                                      </w:t>
      </w:r>
      <w:r w:rsidR="00EA5066" w:rsidRPr="00101390">
        <w:rPr>
          <w:rFonts w:ascii="Arial" w:hAnsi="Arial" w:cs="Arial"/>
          <w:sz w:val="20"/>
          <w:szCs w:val="20"/>
          <w:lang w:val="es-ES" w:eastAsia="es-ES"/>
        </w:rPr>
        <w:t>Sin información que revelar en el periodo</w:t>
      </w:r>
    </w:p>
    <w:p w14:paraId="011B6E8C" w14:textId="2911266C" w:rsidR="007D1E76" w:rsidRPr="00101390" w:rsidRDefault="007D1E76" w:rsidP="00CB41C4">
      <w:pPr>
        <w:tabs>
          <w:tab w:val="left" w:leader="underscore" w:pos="9639"/>
        </w:tabs>
        <w:spacing w:after="0" w:line="240" w:lineRule="auto"/>
        <w:jc w:val="both"/>
        <w:rPr>
          <w:rFonts w:cs="Calibri"/>
          <w:sz w:val="20"/>
          <w:szCs w:val="20"/>
        </w:rPr>
      </w:pPr>
      <w:r w:rsidRPr="00101390">
        <w:rPr>
          <w:rFonts w:cs="Calibri"/>
          <w:b/>
          <w:sz w:val="20"/>
          <w:szCs w:val="20"/>
        </w:rPr>
        <w:t>d)</w:t>
      </w:r>
      <w:r w:rsidRPr="00101390">
        <w:rPr>
          <w:rFonts w:cs="Calibri"/>
          <w:sz w:val="20"/>
          <w:szCs w:val="20"/>
        </w:rPr>
        <w:t xml:space="preserve"> Tipo de cambio:</w:t>
      </w:r>
      <w:r w:rsidR="007F5E45" w:rsidRPr="00101390">
        <w:rPr>
          <w:rFonts w:cs="Calibri"/>
          <w:sz w:val="20"/>
          <w:szCs w:val="20"/>
        </w:rPr>
        <w:t xml:space="preserve">                                                                                                                                                  </w:t>
      </w:r>
      <w:r w:rsidR="00EA5066" w:rsidRPr="00101390">
        <w:rPr>
          <w:rFonts w:ascii="Arial" w:hAnsi="Arial" w:cs="Arial"/>
          <w:sz w:val="20"/>
          <w:szCs w:val="20"/>
          <w:lang w:val="es-ES" w:eastAsia="es-ES"/>
        </w:rPr>
        <w:t>Sin información que revelar en el periodo</w:t>
      </w:r>
    </w:p>
    <w:p w14:paraId="3EDA9CB4" w14:textId="054E8763" w:rsidR="007D1E76" w:rsidRPr="00101390" w:rsidRDefault="007D1E76" w:rsidP="00CB41C4">
      <w:pPr>
        <w:tabs>
          <w:tab w:val="left" w:leader="underscore" w:pos="9639"/>
        </w:tabs>
        <w:spacing w:after="0" w:line="240" w:lineRule="auto"/>
        <w:jc w:val="both"/>
        <w:rPr>
          <w:rFonts w:cs="Calibri"/>
          <w:sz w:val="20"/>
          <w:szCs w:val="20"/>
        </w:rPr>
      </w:pPr>
      <w:r w:rsidRPr="00101390">
        <w:rPr>
          <w:rFonts w:cs="Calibri"/>
          <w:b/>
          <w:sz w:val="20"/>
          <w:szCs w:val="20"/>
        </w:rPr>
        <w:t xml:space="preserve">e) </w:t>
      </w:r>
      <w:r w:rsidRPr="00101390">
        <w:rPr>
          <w:rFonts w:cs="Calibri"/>
          <w:sz w:val="20"/>
          <w:szCs w:val="20"/>
        </w:rPr>
        <w:t>Equivalente en moneda nacional:</w:t>
      </w:r>
      <w:r w:rsidR="007F5E45" w:rsidRPr="00101390">
        <w:rPr>
          <w:rFonts w:cs="Calibri"/>
          <w:sz w:val="20"/>
          <w:szCs w:val="20"/>
        </w:rPr>
        <w:t xml:space="preserve">                                                                                                                   </w:t>
      </w:r>
      <w:r w:rsidR="00EA5066" w:rsidRPr="00101390">
        <w:rPr>
          <w:rFonts w:ascii="Arial" w:hAnsi="Arial" w:cs="Arial"/>
          <w:sz w:val="20"/>
          <w:szCs w:val="20"/>
          <w:lang w:val="es-ES" w:eastAsia="es-ES"/>
        </w:rPr>
        <w:t>Sin información que revelar en el periodo</w:t>
      </w:r>
    </w:p>
    <w:p w14:paraId="01728175" w14:textId="77777777" w:rsidR="007D1E76" w:rsidRPr="00101390" w:rsidRDefault="007D1E76" w:rsidP="00CB41C4">
      <w:pPr>
        <w:tabs>
          <w:tab w:val="left" w:leader="underscore" w:pos="9639"/>
        </w:tabs>
        <w:spacing w:after="0" w:line="240" w:lineRule="auto"/>
        <w:jc w:val="both"/>
        <w:rPr>
          <w:rFonts w:cs="Calibri"/>
          <w:sz w:val="20"/>
          <w:szCs w:val="20"/>
        </w:rPr>
      </w:pPr>
      <w:r w:rsidRPr="00101390">
        <w:rPr>
          <w:rFonts w:cs="Calibri"/>
          <w:sz w:val="20"/>
          <w:szCs w:val="20"/>
        </w:rPr>
        <w:t>Lo anterior por cada tipo de moneda extranjera que se encuentre en los rubros de activo y pasivo.</w:t>
      </w:r>
    </w:p>
    <w:p w14:paraId="20DD1BAE" w14:textId="4A4A65C9" w:rsidR="007D1E76" w:rsidRPr="00101390" w:rsidRDefault="007D1E76" w:rsidP="00CB41C4">
      <w:pPr>
        <w:tabs>
          <w:tab w:val="left" w:leader="underscore" w:pos="9639"/>
        </w:tabs>
        <w:spacing w:after="0" w:line="240" w:lineRule="auto"/>
        <w:jc w:val="both"/>
        <w:rPr>
          <w:rFonts w:cs="Calibri"/>
          <w:sz w:val="20"/>
          <w:szCs w:val="20"/>
        </w:rPr>
      </w:pPr>
      <w:r w:rsidRPr="00101390">
        <w:rPr>
          <w:rFonts w:cs="Calibri"/>
          <w:sz w:val="20"/>
          <w:szCs w:val="20"/>
        </w:rPr>
        <w:t>Adicionalmente</w:t>
      </w:r>
      <w:r w:rsidR="00D32331" w:rsidRPr="00101390">
        <w:rPr>
          <w:rFonts w:cs="Calibri"/>
          <w:sz w:val="20"/>
          <w:szCs w:val="20"/>
        </w:rPr>
        <w:t>,</w:t>
      </w:r>
      <w:r w:rsidRPr="00101390">
        <w:rPr>
          <w:rFonts w:cs="Calibri"/>
          <w:sz w:val="20"/>
          <w:szCs w:val="20"/>
        </w:rPr>
        <w:t xml:space="preserve"> se informará sobre los métodos de protección de riesgo por vari</w:t>
      </w:r>
      <w:r w:rsidR="00E00323" w:rsidRPr="00101390">
        <w:rPr>
          <w:rFonts w:cs="Calibri"/>
          <w:sz w:val="20"/>
          <w:szCs w:val="20"/>
        </w:rPr>
        <w:t>aciones en el tipo de cambio.</w:t>
      </w:r>
    </w:p>
    <w:p w14:paraId="5D7BA233" w14:textId="77777777" w:rsidR="007D1E76" w:rsidRPr="00101390" w:rsidRDefault="007D1E76" w:rsidP="00CB41C4">
      <w:pPr>
        <w:tabs>
          <w:tab w:val="left" w:leader="underscore" w:pos="9639"/>
        </w:tabs>
        <w:spacing w:after="0" w:line="240" w:lineRule="auto"/>
        <w:jc w:val="both"/>
        <w:rPr>
          <w:rFonts w:cs="Calibri"/>
          <w:sz w:val="20"/>
          <w:szCs w:val="20"/>
        </w:rPr>
      </w:pPr>
    </w:p>
    <w:p w14:paraId="095853FE" w14:textId="75928022" w:rsidR="007D1E76" w:rsidRPr="00101390" w:rsidRDefault="0064059E" w:rsidP="000C3365">
      <w:pPr>
        <w:pStyle w:val="Ttulo2"/>
        <w:rPr>
          <w:rFonts w:asciiTheme="minorHAnsi" w:hAnsiTheme="minorHAnsi" w:cstheme="minorHAnsi"/>
          <w:b/>
          <w:color w:val="auto"/>
          <w:sz w:val="20"/>
          <w:szCs w:val="20"/>
        </w:rPr>
      </w:pPr>
      <w:bookmarkStart w:id="6" w:name="_Toc161472872"/>
      <w:r w:rsidRPr="00101390">
        <w:rPr>
          <w:rFonts w:asciiTheme="minorHAnsi" w:hAnsiTheme="minorHAnsi" w:cstheme="minorHAnsi"/>
          <w:b/>
          <w:color w:val="auto"/>
          <w:sz w:val="20"/>
          <w:szCs w:val="20"/>
        </w:rPr>
        <w:t>7</w:t>
      </w:r>
      <w:r w:rsidR="007D1E76" w:rsidRPr="00101390">
        <w:rPr>
          <w:rFonts w:asciiTheme="minorHAnsi" w:hAnsiTheme="minorHAnsi" w:cstheme="minorHAnsi"/>
          <w:b/>
          <w:color w:val="auto"/>
          <w:sz w:val="20"/>
          <w:szCs w:val="20"/>
        </w:rPr>
        <w:t xml:space="preserve">. </w:t>
      </w:r>
      <w:r w:rsidR="00E00323" w:rsidRPr="00101390">
        <w:rPr>
          <w:rFonts w:asciiTheme="minorHAnsi" w:hAnsiTheme="minorHAnsi" w:cstheme="minorHAnsi"/>
          <w:b/>
          <w:color w:val="auto"/>
          <w:sz w:val="20"/>
          <w:szCs w:val="20"/>
        </w:rPr>
        <w:t>Reporte Analítico del Activo:</w:t>
      </w:r>
      <w:bookmarkEnd w:id="6"/>
    </w:p>
    <w:p w14:paraId="7DC51E13" w14:textId="77777777" w:rsidR="007D1E76" w:rsidRPr="00101390" w:rsidRDefault="007D1E76" w:rsidP="00CB41C4">
      <w:pPr>
        <w:tabs>
          <w:tab w:val="left" w:leader="underscore" w:pos="9639"/>
        </w:tabs>
        <w:spacing w:after="0" w:line="240" w:lineRule="auto"/>
        <w:jc w:val="both"/>
        <w:rPr>
          <w:rFonts w:cs="Calibri"/>
          <w:sz w:val="20"/>
          <w:szCs w:val="20"/>
        </w:rPr>
      </w:pPr>
      <w:r w:rsidRPr="00101390">
        <w:rPr>
          <w:rFonts w:cs="Calibri"/>
          <w:sz w:val="20"/>
          <w:szCs w:val="20"/>
        </w:rPr>
        <w:t>Debe mostrar la siguien</w:t>
      </w:r>
      <w:r w:rsidR="00E00323" w:rsidRPr="00101390">
        <w:rPr>
          <w:rFonts w:cs="Calibri"/>
          <w:sz w:val="20"/>
          <w:szCs w:val="20"/>
        </w:rPr>
        <w:t>te información:</w:t>
      </w:r>
    </w:p>
    <w:p w14:paraId="721E8A1F" w14:textId="09BA8E02" w:rsidR="007D1E76" w:rsidRPr="00101390" w:rsidRDefault="007D1E76" w:rsidP="00CB41C4">
      <w:pPr>
        <w:tabs>
          <w:tab w:val="left" w:leader="underscore" w:pos="9639"/>
        </w:tabs>
        <w:spacing w:after="0" w:line="240" w:lineRule="auto"/>
        <w:jc w:val="both"/>
        <w:rPr>
          <w:rFonts w:cs="Calibri"/>
          <w:sz w:val="20"/>
          <w:szCs w:val="20"/>
        </w:rPr>
      </w:pPr>
      <w:r w:rsidRPr="00101390">
        <w:rPr>
          <w:rFonts w:cs="Calibri"/>
          <w:b/>
          <w:sz w:val="20"/>
          <w:szCs w:val="20"/>
        </w:rPr>
        <w:t>a)</w:t>
      </w:r>
      <w:r w:rsidRPr="00101390">
        <w:rPr>
          <w:rFonts w:cs="Calibri"/>
          <w:sz w:val="20"/>
          <w:szCs w:val="20"/>
        </w:rPr>
        <w:t xml:space="preserve"> </w:t>
      </w:r>
      <w:r w:rsidR="00ED7AA0" w:rsidRPr="00101390">
        <w:rPr>
          <w:rFonts w:cs="Calibri"/>
          <w:sz w:val="20"/>
          <w:szCs w:val="20"/>
        </w:rPr>
        <w:t>Vida útil, porcentajes de depreciación y amortización utilizados en los diferentes tipos de activos, o el importe de las pérdidas por deterioro reconocidas</w:t>
      </w:r>
      <w:r w:rsidRPr="00101390">
        <w:rPr>
          <w:rFonts w:cs="Calibri"/>
          <w:sz w:val="20"/>
          <w:szCs w:val="20"/>
        </w:rPr>
        <w:t>:</w:t>
      </w:r>
    </w:p>
    <w:p w14:paraId="40BD3B6D" w14:textId="77777777" w:rsidR="00ED37D1" w:rsidRPr="00101390" w:rsidRDefault="00EA5066" w:rsidP="00ED37D1">
      <w:pPr>
        <w:jc w:val="both"/>
        <w:rPr>
          <w:rFonts w:cs="Calibri"/>
          <w:sz w:val="20"/>
          <w:szCs w:val="20"/>
        </w:rPr>
      </w:pPr>
      <w:r w:rsidRPr="00101390">
        <w:rPr>
          <w:rFonts w:cs="Calibri"/>
          <w:sz w:val="20"/>
          <w:szCs w:val="20"/>
        </w:rPr>
        <w:t>Se aplicó la depreciación de los activos fijos con los porcentajes aplicables por el CONAC y las disposiciones que le aplican.</w:t>
      </w:r>
    </w:p>
    <w:p w14:paraId="1983354C" w14:textId="24C2EFA7" w:rsidR="007D1E76" w:rsidRPr="00101390" w:rsidRDefault="007D1E76" w:rsidP="00ED37D1">
      <w:pPr>
        <w:jc w:val="both"/>
        <w:rPr>
          <w:rFonts w:cs="Calibri"/>
          <w:sz w:val="20"/>
          <w:szCs w:val="20"/>
        </w:rPr>
      </w:pPr>
      <w:r w:rsidRPr="00101390">
        <w:rPr>
          <w:rFonts w:cs="Calibri"/>
          <w:b/>
          <w:sz w:val="20"/>
          <w:szCs w:val="20"/>
        </w:rPr>
        <w:t>b)</w:t>
      </w:r>
      <w:r w:rsidRPr="00101390">
        <w:rPr>
          <w:rFonts w:cs="Calibri"/>
          <w:sz w:val="20"/>
          <w:szCs w:val="20"/>
        </w:rPr>
        <w:t xml:space="preserve"> </w:t>
      </w:r>
      <w:r w:rsidR="00AA2768" w:rsidRPr="00101390">
        <w:rPr>
          <w:rFonts w:cs="Calibri"/>
          <w:sz w:val="20"/>
          <w:szCs w:val="20"/>
        </w:rPr>
        <w:t>Cambios en el porcentaje de depreciación y amortización y en el valor de los activos ocasionado por deterioro</w:t>
      </w:r>
      <w:r w:rsidRPr="00101390">
        <w:rPr>
          <w:rFonts w:cs="Calibri"/>
          <w:sz w:val="20"/>
          <w:szCs w:val="20"/>
        </w:rPr>
        <w:t>:</w:t>
      </w:r>
      <w:r w:rsidR="00ED37D1" w:rsidRPr="00101390">
        <w:rPr>
          <w:rFonts w:cs="Calibri"/>
          <w:sz w:val="20"/>
          <w:szCs w:val="20"/>
        </w:rPr>
        <w:t xml:space="preserve"> </w:t>
      </w:r>
      <w:r w:rsidR="00EA5066" w:rsidRPr="00101390">
        <w:rPr>
          <w:rFonts w:cs="Calibri"/>
          <w:sz w:val="20"/>
          <w:szCs w:val="20"/>
          <w:lang w:val="es-ES" w:eastAsia="es-ES"/>
        </w:rPr>
        <w:t>Sin información que revelar en el periodo</w:t>
      </w:r>
    </w:p>
    <w:p w14:paraId="6B2A339C" w14:textId="4D8D3111" w:rsidR="00EA5066" w:rsidRPr="00101390" w:rsidRDefault="007D1E76" w:rsidP="00EA5066">
      <w:pPr>
        <w:tabs>
          <w:tab w:val="left" w:leader="underscore" w:pos="9639"/>
        </w:tabs>
        <w:spacing w:after="0" w:line="240" w:lineRule="auto"/>
        <w:jc w:val="both"/>
        <w:rPr>
          <w:rFonts w:cs="Calibri"/>
          <w:sz w:val="20"/>
          <w:szCs w:val="20"/>
        </w:rPr>
      </w:pPr>
      <w:r w:rsidRPr="00101390">
        <w:rPr>
          <w:rFonts w:cs="Calibri"/>
          <w:b/>
          <w:sz w:val="20"/>
          <w:szCs w:val="20"/>
        </w:rPr>
        <w:t>c)</w:t>
      </w:r>
      <w:r w:rsidRPr="00101390">
        <w:rPr>
          <w:rFonts w:cs="Calibri"/>
          <w:sz w:val="20"/>
          <w:szCs w:val="20"/>
        </w:rPr>
        <w:t xml:space="preserve"> Importe de los gastos capitalizados en el ejercicio, tanto financieros como de investigación y desarrollo:</w:t>
      </w:r>
      <w:r w:rsidR="007F5E45" w:rsidRPr="00101390">
        <w:rPr>
          <w:rFonts w:cs="Calibri"/>
          <w:sz w:val="20"/>
          <w:szCs w:val="20"/>
        </w:rPr>
        <w:t xml:space="preserve"> </w:t>
      </w:r>
      <w:r w:rsidR="00EA5066" w:rsidRPr="00101390">
        <w:rPr>
          <w:rFonts w:cs="Calibri"/>
          <w:sz w:val="20"/>
          <w:szCs w:val="20"/>
          <w:lang w:val="es-ES" w:eastAsia="es-ES"/>
        </w:rPr>
        <w:t>Sin información que revelar en el periodo</w:t>
      </w:r>
    </w:p>
    <w:p w14:paraId="5F280972" w14:textId="01C65CE9" w:rsidR="00EA5066" w:rsidRPr="00101390" w:rsidRDefault="007D1E76" w:rsidP="00EA5066">
      <w:pPr>
        <w:tabs>
          <w:tab w:val="left" w:leader="underscore" w:pos="9639"/>
        </w:tabs>
        <w:spacing w:after="0" w:line="240" w:lineRule="auto"/>
        <w:jc w:val="both"/>
        <w:rPr>
          <w:rFonts w:cs="Calibri"/>
          <w:sz w:val="20"/>
          <w:szCs w:val="20"/>
        </w:rPr>
      </w:pPr>
      <w:r w:rsidRPr="00101390">
        <w:rPr>
          <w:rFonts w:cs="Calibri"/>
          <w:b/>
          <w:sz w:val="20"/>
          <w:szCs w:val="20"/>
        </w:rPr>
        <w:t>d)</w:t>
      </w:r>
      <w:r w:rsidRPr="00101390">
        <w:rPr>
          <w:rFonts w:cs="Calibri"/>
          <w:sz w:val="20"/>
          <w:szCs w:val="20"/>
        </w:rPr>
        <w:t xml:space="preserve"> Rie</w:t>
      </w:r>
      <w:r w:rsidR="001973A2" w:rsidRPr="00101390">
        <w:rPr>
          <w:rFonts w:cs="Calibri"/>
          <w:sz w:val="20"/>
          <w:szCs w:val="20"/>
        </w:rPr>
        <w:t>s</w:t>
      </w:r>
      <w:r w:rsidRPr="00101390">
        <w:rPr>
          <w:rFonts w:cs="Calibri"/>
          <w:sz w:val="20"/>
          <w:szCs w:val="20"/>
        </w:rPr>
        <w:t>gos por tipo de cambio o tipo de interés de las inversiones financieras:</w:t>
      </w:r>
      <w:r w:rsidR="007F5E45" w:rsidRPr="00101390">
        <w:rPr>
          <w:rFonts w:cs="Calibri"/>
          <w:sz w:val="20"/>
          <w:szCs w:val="20"/>
        </w:rPr>
        <w:t xml:space="preserve">                    </w:t>
      </w:r>
      <w:r w:rsidR="00EA5066" w:rsidRPr="00101390">
        <w:rPr>
          <w:rFonts w:cs="Calibri"/>
          <w:sz w:val="20"/>
          <w:szCs w:val="20"/>
          <w:lang w:val="es-ES" w:eastAsia="es-ES"/>
        </w:rPr>
        <w:t>Sin información que revelar en el periodo</w:t>
      </w:r>
    </w:p>
    <w:p w14:paraId="22A83992" w14:textId="69A3C8AF" w:rsidR="00767813" w:rsidRPr="00101390" w:rsidRDefault="007D1E76" w:rsidP="00767813">
      <w:pPr>
        <w:tabs>
          <w:tab w:val="left" w:leader="underscore" w:pos="9639"/>
        </w:tabs>
        <w:spacing w:after="0" w:line="240" w:lineRule="auto"/>
        <w:jc w:val="both"/>
        <w:rPr>
          <w:rFonts w:cs="Calibri"/>
          <w:sz w:val="20"/>
          <w:szCs w:val="20"/>
        </w:rPr>
      </w:pPr>
      <w:r w:rsidRPr="00101390">
        <w:rPr>
          <w:rFonts w:cs="Calibri"/>
          <w:b/>
          <w:sz w:val="20"/>
          <w:szCs w:val="20"/>
        </w:rPr>
        <w:t xml:space="preserve">e) </w:t>
      </w:r>
      <w:r w:rsidRPr="00101390">
        <w:rPr>
          <w:rFonts w:cs="Calibri"/>
          <w:sz w:val="20"/>
          <w:szCs w:val="20"/>
        </w:rPr>
        <w:t>Valor activado en el ejercicio de los bienes construidos por la entidad:</w:t>
      </w:r>
      <w:r w:rsidR="007F5E45" w:rsidRPr="00101390">
        <w:rPr>
          <w:rFonts w:cs="Calibri"/>
          <w:sz w:val="20"/>
          <w:szCs w:val="20"/>
        </w:rPr>
        <w:t xml:space="preserve">                             </w:t>
      </w:r>
      <w:r w:rsidR="00767813" w:rsidRPr="00101390">
        <w:rPr>
          <w:rFonts w:cs="Calibri"/>
          <w:sz w:val="20"/>
          <w:szCs w:val="20"/>
          <w:lang w:val="es-ES" w:eastAsia="es-ES"/>
        </w:rPr>
        <w:t>Sin información que revelar en el periodo</w:t>
      </w:r>
    </w:p>
    <w:p w14:paraId="22240BFE" w14:textId="1959B833" w:rsidR="00767813" w:rsidRPr="00101390" w:rsidRDefault="007D1E76" w:rsidP="00767813">
      <w:pPr>
        <w:tabs>
          <w:tab w:val="left" w:leader="underscore" w:pos="9639"/>
        </w:tabs>
        <w:spacing w:after="0" w:line="240" w:lineRule="auto"/>
        <w:jc w:val="both"/>
        <w:rPr>
          <w:rFonts w:cs="Calibri"/>
          <w:sz w:val="20"/>
          <w:szCs w:val="20"/>
        </w:rPr>
      </w:pPr>
      <w:r w:rsidRPr="00101390">
        <w:rPr>
          <w:rFonts w:cs="Calibri"/>
          <w:b/>
          <w:sz w:val="20"/>
          <w:szCs w:val="20"/>
        </w:rPr>
        <w:t>f)</w:t>
      </w:r>
      <w:r w:rsidRPr="00101390">
        <w:rPr>
          <w:rFonts w:cs="Calibri"/>
          <w:sz w:val="20"/>
          <w:szCs w:val="20"/>
        </w:rPr>
        <w:t xml:space="preserve"> Otras circunstancias de carácter significativo que afecten el activo, tales como bienes en garantía, señalados en embargos, litigios, títulos de inversiones entregados en garantías, baja significativa del valor de inversiones financieras, etc.:</w:t>
      </w:r>
      <w:r w:rsidR="00101390" w:rsidRPr="00101390">
        <w:rPr>
          <w:rFonts w:cs="Calibri"/>
          <w:sz w:val="20"/>
          <w:szCs w:val="20"/>
        </w:rPr>
        <w:t xml:space="preserve">          </w:t>
      </w:r>
      <w:r w:rsidR="00767813" w:rsidRPr="00101390">
        <w:rPr>
          <w:rFonts w:cs="Calibri"/>
          <w:sz w:val="20"/>
          <w:szCs w:val="20"/>
          <w:lang w:val="es-ES" w:eastAsia="es-ES"/>
        </w:rPr>
        <w:t>Sin información que revelar en el periodo</w:t>
      </w:r>
    </w:p>
    <w:p w14:paraId="5EBDA4ED" w14:textId="5A38397B" w:rsidR="00767813" w:rsidRPr="00101390" w:rsidRDefault="007D1E76" w:rsidP="00767813">
      <w:pPr>
        <w:tabs>
          <w:tab w:val="left" w:leader="underscore" w:pos="9639"/>
        </w:tabs>
        <w:spacing w:after="0" w:line="240" w:lineRule="auto"/>
        <w:jc w:val="both"/>
        <w:rPr>
          <w:rFonts w:cs="Calibri"/>
          <w:sz w:val="20"/>
          <w:szCs w:val="20"/>
        </w:rPr>
      </w:pPr>
      <w:r w:rsidRPr="00101390">
        <w:rPr>
          <w:rFonts w:cs="Calibri"/>
          <w:b/>
          <w:sz w:val="20"/>
          <w:szCs w:val="20"/>
        </w:rPr>
        <w:t>g)</w:t>
      </w:r>
      <w:r w:rsidRPr="00101390">
        <w:rPr>
          <w:rFonts w:cs="Calibri"/>
          <w:sz w:val="20"/>
          <w:szCs w:val="20"/>
        </w:rPr>
        <w:t xml:space="preserve"> Desmantelamiento de Activos, procedimientos, implicaciones, efectos contables:</w:t>
      </w:r>
      <w:r w:rsidR="007F5E45" w:rsidRPr="00101390">
        <w:rPr>
          <w:rFonts w:cs="Calibri"/>
          <w:sz w:val="20"/>
          <w:szCs w:val="20"/>
        </w:rPr>
        <w:t xml:space="preserve">          </w:t>
      </w:r>
      <w:r w:rsidR="00767813" w:rsidRPr="00101390">
        <w:rPr>
          <w:rFonts w:cs="Calibri"/>
          <w:sz w:val="20"/>
          <w:szCs w:val="20"/>
          <w:lang w:val="es-ES" w:eastAsia="es-ES"/>
        </w:rPr>
        <w:t>Sin información que revelar en el periodo</w:t>
      </w:r>
    </w:p>
    <w:p w14:paraId="4DA676F9" w14:textId="64BD80EC" w:rsidR="00767813" w:rsidRPr="00101390" w:rsidRDefault="007D1E76" w:rsidP="00767813">
      <w:pPr>
        <w:tabs>
          <w:tab w:val="left" w:leader="underscore" w:pos="9639"/>
        </w:tabs>
        <w:spacing w:after="0" w:line="240" w:lineRule="auto"/>
        <w:jc w:val="both"/>
        <w:rPr>
          <w:rFonts w:cs="Calibri"/>
          <w:sz w:val="20"/>
          <w:szCs w:val="20"/>
        </w:rPr>
      </w:pPr>
      <w:r w:rsidRPr="00101390">
        <w:rPr>
          <w:rFonts w:cs="Calibri"/>
          <w:b/>
          <w:sz w:val="20"/>
          <w:szCs w:val="20"/>
        </w:rPr>
        <w:t>h)</w:t>
      </w:r>
      <w:r w:rsidRPr="00101390">
        <w:rPr>
          <w:rFonts w:cs="Calibri"/>
          <w:sz w:val="20"/>
          <w:szCs w:val="20"/>
        </w:rPr>
        <w:t xml:space="preserve"> Administración de activos; planeación con el objetivo de que el ente los utilice de manera más efectiva:</w:t>
      </w:r>
      <w:r w:rsidR="007F5E45" w:rsidRPr="00101390">
        <w:rPr>
          <w:rFonts w:cs="Calibri"/>
          <w:sz w:val="20"/>
          <w:szCs w:val="20"/>
        </w:rPr>
        <w:t xml:space="preserve"> </w:t>
      </w:r>
      <w:r w:rsidR="00767813" w:rsidRPr="00101390">
        <w:rPr>
          <w:rFonts w:cs="Calibri"/>
          <w:sz w:val="20"/>
          <w:szCs w:val="20"/>
          <w:lang w:val="es-ES" w:eastAsia="es-ES"/>
        </w:rPr>
        <w:t>Sin información que revelar en el periodo</w:t>
      </w:r>
    </w:p>
    <w:p w14:paraId="403DA31A" w14:textId="77777777" w:rsidR="00ED37D1" w:rsidRPr="00101390" w:rsidRDefault="00ED37D1" w:rsidP="00CB41C4">
      <w:pPr>
        <w:tabs>
          <w:tab w:val="left" w:leader="underscore" w:pos="9639"/>
        </w:tabs>
        <w:spacing w:after="0" w:line="240" w:lineRule="auto"/>
        <w:jc w:val="both"/>
        <w:rPr>
          <w:rFonts w:cs="Calibri"/>
          <w:sz w:val="20"/>
          <w:szCs w:val="20"/>
        </w:rPr>
      </w:pPr>
    </w:p>
    <w:p w14:paraId="1F344FA6" w14:textId="77777777" w:rsidR="007D1E76" w:rsidRPr="00101390" w:rsidRDefault="007D1E76" w:rsidP="00CB41C4">
      <w:pPr>
        <w:tabs>
          <w:tab w:val="left" w:leader="underscore" w:pos="9639"/>
        </w:tabs>
        <w:spacing w:after="0" w:line="240" w:lineRule="auto"/>
        <w:jc w:val="both"/>
        <w:rPr>
          <w:rFonts w:cs="Calibri"/>
          <w:sz w:val="20"/>
          <w:szCs w:val="20"/>
        </w:rPr>
      </w:pPr>
      <w:r w:rsidRPr="00101390">
        <w:rPr>
          <w:rFonts w:cs="Calibri"/>
          <w:sz w:val="20"/>
          <w:szCs w:val="20"/>
        </w:rPr>
        <w:t>Adicionalmente, se deben incluir las explicaciones de las principales variaciones en el activo, en cua</w:t>
      </w:r>
      <w:r w:rsidR="005E231E" w:rsidRPr="00101390">
        <w:rPr>
          <w:rFonts w:cs="Calibri"/>
          <w:sz w:val="20"/>
          <w:szCs w:val="20"/>
        </w:rPr>
        <w:t>dros comparativos como sigue:</w:t>
      </w:r>
    </w:p>
    <w:p w14:paraId="789C6B25" w14:textId="21FC3D92" w:rsidR="00767813" w:rsidRPr="00101390" w:rsidRDefault="007D1E76" w:rsidP="00767813">
      <w:pPr>
        <w:tabs>
          <w:tab w:val="left" w:leader="underscore" w:pos="9639"/>
        </w:tabs>
        <w:spacing w:after="0" w:line="240" w:lineRule="auto"/>
        <w:jc w:val="both"/>
        <w:rPr>
          <w:rFonts w:cs="Calibri"/>
          <w:sz w:val="20"/>
          <w:szCs w:val="20"/>
        </w:rPr>
      </w:pPr>
      <w:r w:rsidRPr="00101390">
        <w:rPr>
          <w:rFonts w:cs="Calibri"/>
          <w:b/>
          <w:sz w:val="20"/>
          <w:szCs w:val="20"/>
        </w:rPr>
        <w:t>a)</w:t>
      </w:r>
      <w:r w:rsidRPr="00101390">
        <w:rPr>
          <w:rFonts w:cs="Calibri"/>
          <w:sz w:val="20"/>
          <w:szCs w:val="20"/>
        </w:rPr>
        <w:t xml:space="preserve"> Inversiones en valores:</w:t>
      </w:r>
      <w:r w:rsidR="007F5E45" w:rsidRPr="00101390">
        <w:rPr>
          <w:rFonts w:cs="Calibri"/>
          <w:sz w:val="20"/>
          <w:szCs w:val="20"/>
        </w:rPr>
        <w:t xml:space="preserve">                              </w:t>
      </w:r>
      <w:r w:rsidR="00101390" w:rsidRPr="00101390">
        <w:rPr>
          <w:rFonts w:cs="Calibri"/>
          <w:sz w:val="20"/>
          <w:szCs w:val="20"/>
        </w:rPr>
        <w:t xml:space="preserve">                                                                   </w:t>
      </w:r>
      <w:r w:rsidR="007F5E45" w:rsidRPr="00101390">
        <w:rPr>
          <w:rFonts w:cs="Calibri"/>
          <w:sz w:val="20"/>
          <w:szCs w:val="20"/>
        </w:rPr>
        <w:t xml:space="preserve">           </w:t>
      </w:r>
      <w:r w:rsidR="00767813" w:rsidRPr="00101390">
        <w:rPr>
          <w:rFonts w:cs="Calibri"/>
          <w:sz w:val="20"/>
          <w:szCs w:val="20"/>
          <w:lang w:val="es-ES" w:eastAsia="es-ES"/>
        </w:rPr>
        <w:t>Sin información que revelar en el periodo</w:t>
      </w:r>
    </w:p>
    <w:p w14:paraId="44EDF080" w14:textId="03E13103" w:rsidR="00767813" w:rsidRPr="00101390" w:rsidRDefault="007D1E76" w:rsidP="00767813">
      <w:pPr>
        <w:tabs>
          <w:tab w:val="left" w:leader="underscore" w:pos="9639"/>
        </w:tabs>
        <w:spacing w:after="0" w:line="240" w:lineRule="auto"/>
        <w:jc w:val="both"/>
        <w:rPr>
          <w:rFonts w:cs="Calibri"/>
          <w:sz w:val="20"/>
          <w:szCs w:val="20"/>
        </w:rPr>
      </w:pPr>
      <w:r w:rsidRPr="00101390">
        <w:rPr>
          <w:rFonts w:cs="Calibri"/>
          <w:b/>
          <w:sz w:val="20"/>
          <w:szCs w:val="20"/>
        </w:rPr>
        <w:t>b)</w:t>
      </w:r>
      <w:r w:rsidRPr="00101390">
        <w:rPr>
          <w:rFonts w:cs="Calibri"/>
          <w:sz w:val="20"/>
          <w:szCs w:val="20"/>
        </w:rPr>
        <w:t xml:space="preserve"> Patrimonio de Organismos </w:t>
      </w:r>
      <w:r w:rsidR="00B073DE" w:rsidRPr="00101390">
        <w:rPr>
          <w:rFonts w:cs="Calibri"/>
          <w:sz w:val="20"/>
          <w:szCs w:val="20"/>
        </w:rPr>
        <w:t>D</w:t>
      </w:r>
      <w:r w:rsidRPr="00101390">
        <w:rPr>
          <w:rFonts w:cs="Calibri"/>
          <w:sz w:val="20"/>
          <w:szCs w:val="20"/>
        </w:rPr>
        <w:t>escentralizados de Control Presupuestario Indirecto:</w:t>
      </w:r>
      <w:r w:rsidR="007F5E45" w:rsidRPr="00101390">
        <w:rPr>
          <w:rFonts w:cs="Calibri"/>
          <w:sz w:val="20"/>
          <w:szCs w:val="20"/>
        </w:rPr>
        <w:t xml:space="preserve">   </w:t>
      </w:r>
      <w:r w:rsidR="00767813" w:rsidRPr="00101390">
        <w:rPr>
          <w:rFonts w:cs="Calibri"/>
          <w:sz w:val="20"/>
          <w:szCs w:val="20"/>
          <w:lang w:val="es-ES" w:eastAsia="es-ES"/>
        </w:rPr>
        <w:t>Sin información que revelar en el periodo</w:t>
      </w:r>
    </w:p>
    <w:p w14:paraId="7DB1E5A4" w14:textId="64D2BE73" w:rsidR="00767813" w:rsidRPr="00101390" w:rsidRDefault="007D1E76" w:rsidP="00767813">
      <w:pPr>
        <w:tabs>
          <w:tab w:val="left" w:leader="underscore" w:pos="9639"/>
        </w:tabs>
        <w:spacing w:after="0" w:line="240" w:lineRule="auto"/>
        <w:jc w:val="both"/>
        <w:rPr>
          <w:rFonts w:cs="Calibri"/>
          <w:sz w:val="20"/>
          <w:szCs w:val="20"/>
        </w:rPr>
      </w:pPr>
      <w:r w:rsidRPr="00101390">
        <w:rPr>
          <w:rFonts w:cs="Calibri"/>
          <w:b/>
          <w:sz w:val="20"/>
          <w:szCs w:val="20"/>
        </w:rPr>
        <w:t>c)</w:t>
      </w:r>
      <w:r w:rsidRPr="00101390">
        <w:rPr>
          <w:rFonts w:cs="Calibri"/>
          <w:sz w:val="20"/>
          <w:szCs w:val="20"/>
        </w:rPr>
        <w:t xml:space="preserve"> Inversiones en empresas de participación mayoritaria:</w:t>
      </w:r>
      <w:r w:rsidR="007F5E45" w:rsidRPr="00101390">
        <w:rPr>
          <w:rFonts w:cs="Calibri"/>
          <w:sz w:val="20"/>
          <w:szCs w:val="20"/>
        </w:rPr>
        <w:t xml:space="preserve">       </w:t>
      </w:r>
      <w:r w:rsidR="00101390" w:rsidRPr="00101390">
        <w:rPr>
          <w:rFonts w:cs="Calibri"/>
          <w:sz w:val="20"/>
          <w:szCs w:val="20"/>
        </w:rPr>
        <w:t xml:space="preserve">                                            </w:t>
      </w:r>
      <w:r w:rsidR="007F5E45" w:rsidRPr="00101390">
        <w:rPr>
          <w:rFonts w:cs="Calibri"/>
          <w:sz w:val="20"/>
          <w:szCs w:val="20"/>
        </w:rPr>
        <w:t xml:space="preserve"> </w:t>
      </w:r>
      <w:r w:rsidR="00767813" w:rsidRPr="00101390">
        <w:rPr>
          <w:rFonts w:cs="Calibri"/>
          <w:sz w:val="20"/>
          <w:szCs w:val="20"/>
          <w:lang w:val="es-ES" w:eastAsia="es-ES"/>
        </w:rPr>
        <w:t>Sin información que revelar en el periodo</w:t>
      </w:r>
    </w:p>
    <w:p w14:paraId="30F7994F" w14:textId="7121F92F" w:rsidR="00767813" w:rsidRPr="00101390" w:rsidRDefault="007D1E76" w:rsidP="00767813">
      <w:pPr>
        <w:tabs>
          <w:tab w:val="left" w:leader="underscore" w:pos="9639"/>
        </w:tabs>
        <w:spacing w:after="0" w:line="240" w:lineRule="auto"/>
        <w:jc w:val="both"/>
        <w:rPr>
          <w:rFonts w:cs="Calibri"/>
          <w:sz w:val="20"/>
          <w:szCs w:val="20"/>
        </w:rPr>
      </w:pPr>
      <w:r w:rsidRPr="00101390">
        <w:rPr>
          <w:rFonts w:cs="Calibri"/>
          <w:b/>
          <w:sz w:val="20"/>
          <w:szCs w:val="20"/>
        </w:rPr>
        <w:t>d)</w:t>
      </w:r>
      <w:r w:rsidRPr="00101390">
        <w:rPr>
          <w:rFonts w:cs="Calibri"/>
          <w:sz w:val="20"/>
          <w:szCs w:val="20"/>
        </w:rPr>
        <w:t xml:space="preserve"> Inversiones en empresas de participación minoritaria:</w:t>
      </w:r>
      <w:r w:rsidR="007F5E45" w:rsidRPr="00101390">
        <w:rPr>
          <w:rFonts w:cs="Calibri"/>
          <w:sz w:val="20"/>
          <w:szCs w:val="20"/>
        </w:rPr>
        <w:t xml:space="preserve">         </w:t>
      </w:r>
      <w:r w:rsidR="00101390" w:rsidRPr="00101390">
        <w:rPr>
          <w:rFonts w:cs="Calibri"/>
          <w:sz w:val="20"/>
          <w:szCs w:val="20"/>
        </w:rPr>
        <w:t xml:space="preserve">                                           </w:t>
      </w:r>
      <w:r w:rsidR="00767813" w:rsidRPr="00101390">
        <w:rPr>
          <w:rFonts w:cs="Calibri"/>
          <w:sz w:val="20"/>
          <w:szCs w:val="20"/>
          <w:lang w:val="es-ES" w:eastAsia="es-ES"/>
        </w:rPr>
        <w:t>Sin información que revelar en el periodo</w:t>
      </w:r>
    </w:p>
    <w:p w14:paraId="648A8FD0" w14:textId="5EE4B8F6" w:rsidR="00767813" w:rsidRPr="00101390" w:rsidRDefault="007D1E76" w:rsidP="00767813">
      <w:pPr>
        <w:tabs>
          <w:tab w:val="left" w:leader="underscore" w:pos="9639"/>
        </w:tabs>
        <w:spacing w:after="0" w:line="240" w:lineRule="auto"/>
        <w:jc w:val="both"/>
        <w:rPr>
          <w:rFonts w:cs="Calibri"/>
          <w:sz w:val="20"/>
          <w:szCs w:val="20"/>
        </w:rPr>
      </w:pPr>
      <w:r w:rsidRPr="00101390">
        <w:rPr>
          <w:rFonts w:cs="Calibri"/>
          <w:b/>
          <w:sz w:val="20"/>
          <w:szCs w:val="20"/>
        </w:rPr>
        <w:t>e)</w:t>
      </w:r>
      <w:r w:rsidRPr="00101390">
        <w:rPr>
          <w:rFonts w:cs="Calibri"/>
          <w:sz w:val="20"/>
          <w:szCs w:val="20"/>
        </w:rPr>
        <w:t xml:space="preserve"> Patrimonio de </w:t>
      </w:r>
      <w:r w:rsidR="006B1ADF" w:rsidRPr="00101390">
        <w:rPr>
          <w:rFonts w:cs="Calibri"/>
          <w:sz w:val="20"/>
          <w:szCs w:val="20"/>
        </w:rPr>
        <w:t>O</w:t>
      </w:r>
      <w:r w:rsidRPr="00101390">
        <w:rPr>
          <w:rFonts w:cs="Calibri"/>
          <w:sz w:val="20"/>
          <w:szCs w:val="20"/>
        </w:rPr>
        <w:t xml:space="preserve">rganismos </w:t>
      </w:r>
      <w:r w:rsidR="006B1ADF" w:rsidRPr="00101390">
        <w:rPr>
          <w:rFonts w:cs="Calibri"/>
          <w:sz w:val="20"/>
          <w:szCs w:val="20"/>
        </w:rPr>
        <w:t>D</w:t>
      </w:r>
      <w:r w:rsidRPr="00101390">
        <w:rPr>
          <w:rFonts w:cs="Calibri"/>
          <w:sz w:val="20"/>
          <w:szCs w:val="20"/>
        </w:rPr>
        <w:t xml:space="preserve">escentralizados de control </w:t>
      </w:r>
      <w:r w:rsidR="006B1ADF" w:rsidRPr="00101390">
        <w:rPr>
          <w:rFonts w:cs="Calibri"/>
          <w:sz w:val="20"/>
          <w:szCs w:val="20"/>
        </w:rPr>
        <w:t>P</w:t>
      </w:r>
      <w:r w:rsidRPr="00101390">
        <w:rPr>
          <w:rFonts w:cs="Calibri"/>
          <w:sz w:val="20"/>
          <w:szCs w:val="20"/>
        </w:rPr>
        <w:t xml:space="preserve">resupuestario </w:t>
      </w:r>
      <w:r w:rsidR="006B1ADF" w:rsidRPr="00101390">
        <w:rPr>
          <w:rFonts w:cs="Calibri"/>
          <w:sz w:val="20"/>
          <w:szCs w:val="20"/>
        </w:rPr>
        <w:t>D</w:t>
      </w:r>
      <w:r w:rsidRPr="00101390">
        <w:rPr>
          <w:rFonts w:cs="Calibri"/>
          <w:sz w:val="20"/>
          <w:szCs w:val="20"/>
        </w:rPr>
        <w:t>irecto, según corresponda:</w:t>
      </w:r>
      <w:r w:rsidR="0059164F">
        <w:rPr>
          <w:rFonts w:cs="Calibri"/>
          <w:sz w:val="20"/>
          <w:szCs w:val="20"/>
        </w:rPr>
        <w:t xml:space="preserve">   </w:t>
      </w:r>
      <w:r w:rsidR="00101390" w:rsidRPr="00101390">
        <w:rPr>
          <w:rFonts w:cs="Calibri"/>
          <w:sz w:val="20"/>
          <w:szCs w:val="20"/>
        </w:rPr>
        <w:t xml:space="preserve"> </w:t>
      </w:r>
      <w:r w:rsidR="00767813" w:rsidRPr="00101390">
        <w:rPr>
          <w:rFonts w:cs="Calibri"/>
          <w:sz w:val="20"/>
          <w:szCs w:val="20"/>
          <w:lang w:val="es-ES" w:eastAsia="es-ES"/>
        </w:rPr>
        <w:t>Sin información que revelar en el periodo</w:t>
      </w:r>
    </w:p>
    <w:p w14:paraId="6E55E712" w14:textId="77C569C9" w:rsidR="007D1E76" w:rsidRPr="00101390" w:rsidRDefault="002722DD" w:rsidP="00101390">
      <w:pPr>
        <w:pStyle w:val="Ttulo2"/>
        <w:rPr>
          <w:rFonts w:cs="Calibri"/>
          <w:color w:val="auto"/>
          <w:sz w:val="20"/>
          <w:szCs w:val="20"/>
        </w:rPr>
      </w:pPr>
      <w:bookmarkStart w:id="7" w:name="_Toc161472873"/>
      <w:r w:rsidRPr="00101390">
        <w:rPr>
          <w:rFonts w:asciiTheme="minorHAnsi" w:hAnsiTheme="minorHAnsi" w:cstheme="minorHAnsi"/>
          <w:b/>
          <w:color w:val="auto"/>
          <w:sz w:val="20"/>
          <w:szCs w:val="20"/>
        </w:rPr>
        <w:t>8</w:t>
      </w:r>
      <w:r w:rsidR="007D1E76" w:rsidRPr="00101390">
        <w:rPr>
          <w:rFonts w:asciiTheme="minorHAnsi" w:hAnsiTheme="minorHAnsi" w:cstheme="minorHAnsi"/>
          <w:b/>
          <w:color w:val="auto"/>
          <w:sz w:val="20"/>
          <w:szCs w:val="20"/>
        </w:rPr>
        <w:t>. Fidei</w:t>
      </w:r>
      <w:r w:rsidR="005E231E" w:rsidRPr="00101390">
        <w:rPr>
          <w:rFonts w:asciiTheme="minorHAnsi" w:hAnsiTheme="minorHAnsi" w:cstheme="minorHAnsi"/>
          <w:b/>
          <w:color w:val="auto"/>
          <w:sz w:val="20"/>
          <w:szCs w:val="20"/>
        </w:rPr>
        <w:t>comisos, Mandatos y Análogos:</w:t>
      </w:r>
      <w:bookmarkEnd w:id="7"/>
      <w:r w:rsidR="00101390" w:rsidRPr="00101390">
        <w:rPr>
          <w:rFonts w:asciiTheme="minorHAnsi" w:hAnsiTheme="minorHAnsi" w:cstheme="minorHAnsi"/>
          <w:b/>
          <w:color w:val="auto"/>
          <w:sz w:val="20"/>
          <w:szCs w:val="20"/>
        </w:rPr>
        <w:t xml:space="preserve">          </w:t>
      </w:r>
      <w:r w:rsidR="007D1E76" w:rsidRPr="00101390">
        <w:rPr>
          <w:rFonts w:cs="Calibri"/>
          <w:color w:val="auto"/>
          <w:sz w:val="20"/>
          <w:szCs w:val="20"/>
        </w:rPr>
        <w:t>Se deberá informar:</w:t>
      </w:r>
    </w:p>
    <w:p w14:paraId="4E76B4F4" w14:textId="0C544DBA" w:rsidR="00767813" w:rsidRPr="00101390" w:rsidRDefault="007D1E76" w:rsidP="00767813">
      <w:pPr>
        <w:tabs>
          <w:tab w:val="left" w:leader="underscore" w:pos="9639"/>
        </w:tabs>
        <w:spacing w:after="0" w:line="240" w:lineRule="auto"/>
        <w:jc w:val="both"/>
        <w:rPr>
          <w:rFonts w:cs="Calibri"/>
          <w:sz w:val="20"/>
          <w:szCs w:val="20"/>
        </w:rPr>
      </w:pPr>
      <w:r w:rsidRPr="00101390">
        <w:rPr>
          <w:rFonts w:cs="Calibri"/>
          <w:b/>
          <w:sz w:val="20"/>
          <w:szCs w:val="20"/>
        </w:rPr>
        <w:t>a)</w:t>
      </w:r>
      <w:r w:rsidRPr="00101390">
        <w:rPr>
          <w:rFonts w:cs="Calibri"/>
          <w:sz w:val="20"/>
          <w:szCs w:val="20"/>
        </w:rPr>
        <w:t xml:space="preserve"> Por ramo administrativo que los reporta:</w:t>
      </w:r>
      <w:r w:rsidR="007F5E45" w:rsidRPr="00101390">
        <w:rPr>
          <w:rFonts w:cs="Calibri"/>
          <w:sz w:val="20"/>
          <w:szCs w:val="20"/>
        </w:rPr>
        <w:t xml:space="preserve">                </w:t>
      </w:r>
      <w:r w:rsidR="00767813" w:rsidRPr="00101390">
        <w:rPr>
          <w:rFonts w:cs="Calibri"/>
          <w:sz w:val="20"/>
          <w:szCs w:val="20"/>
          <w:lang w:val="es-ES" w:eastAsia="es-ES"/>
        </w:rPr>
        <w:t>Sin información que revelar en el periodo</w:t>
      </w:r>
    </w:p>
    <w:p w14:paraId="7CF5E675" w14:textId="77777777" w:rsidR="00FD6088" w:rsidRDefault="007D1E76" w:rsidP="00FD6088">
      <w:pPr>
        <w:tabs>
          <w:tab w:val="left" w:leader="underscore" w:pos="9639"/>
        </w:tabs>
        <w:spacing w:after="0" w:line="240" w:lineRule="auto"/>
        <w:jc w:val="both"/>
        <w:rPr>
          <w:rFonts w:cs="Calibri"/>
          <w:sz w:val="20"/>
          <w:szCs w:val="20"/>
          <w:lang w:val="es-ES" w:eastAsia="es-ES"/>
        </w:rPr>
      </w:pPr>
      <w:r w:rsidRPr="00101390">
        <w:rPr>
          <w:rFonts w:cs="Calibri"/>
          <w:b/>
          <w:sz w:val="20"/>
          <w:szCs w:val="20"/>
        </w:rPr>
        <w:t>b)</w:t>
      </w:r>
      <w:r w:rsidRPr="00101390">
        <w:rPr>
          <w:rFonts w:cs="Calibri"/>
          <w:sz w:val="20"/>
          <w:szCs w:val="20"/>
        </w:rPr>
        <w:t xml:space="preserve"> Enlistar los de mayor monto de disponibilidad, relacionando aquéllos que conforman el 80% de las disponibilidades:</w:t>
      </w:r>
      <w:r w:rsidR="00101390" w:rsidRPr="00101390">
        <w:rPr>
          <w:rFonts w:cs="Calibri"/>
          <w:sz w:val="20"/>
          <w:szCs w:val="20"/>
        </w:rPr>
        <w:t xml:space="preserve"> </w:t>
      </w:r>
      <w:r w:rsidR="00767813" w:rsidRPr="00101390">
        <w:rPr>
          <w:rFonts w:cs="Calibri"/>
          <w:sz w:val="20"/>
          <w:szCs w:val="20"/>
          <w:lang w:val="es-ES" w:eastAsia="es-ES"/>
        </w:rPr>
        <w:t>Sin información que revelar en el periodo</w:t>
      </w:r>
      <w:bookmarkStart w:id="8" w:name="_Toc161472874"/>
    </w:p>
    <w:p w14:paraId="2F60B1C6" w14:textId="009714B0" w:rsidR="007D1E76" w:rsidRPr="00101390" w:rsidRDefault="002722DD" w:rsidP="00FD6088">
      <w:pPr>
        <w:tabs>
          <w:tab w:val="left" w:leader="underscore" w:pos="9639"/>
        </w:tabs>
        <w:spacing w:after="0" w:line="240" w:lineRule="auto"/>
        <w:jc w:val="both"/>
        <w:rPr>
          <w:rFonts w:asciiTheme="minorHAnsi" w:hAnsiTheme="minorHAnsi" w:cstheme="minorHAnsi"/>
          <w:b/>
          <w:sz w:val="20"/>
          <w:szCs w:val="20"/>
        </w:rPr>
      </w:pPr>
      <w:r w:rsidRPr="00101390">
        <w:rPr>
          <w:rFonts w:asciiTheme="minorHAnsi" w:hAnsiTheme="minorHAnsi" w:cstheme="minorHAnsi"/>
          <w:b/>
          <w:sz w:val="20"/>
          <w:szCs w:val="20"/>
        </w:rPr>
        <w:t>9</w:t>
      </w:r>
      <w:r w:rsidR="007D1E76" w:rsidRPr="00101390">
        <w:rPr>
          <w:rFonts w:asciiTheme="minorHAnsi" w:hAnsiTheme="minorHAnsi" w:cstheme="minorHAnsi"/>
          <w:b/>
          <w:sz w:val="20"/>
          <w:szCs w:val="20"/>
        </w:rPr>
        <w:t>. Reporte de la Recaudación:</w:t>
      </w:r>
      <w:bookmarkEnd w:id="8"/>
    </w:p>
    <w:p w14:paraId="6CAD4E54" w14:textId="66F6242E" w:rsidR="007D1E76" w:rsidRPr="00E74967" w:rsidRDefault="007D1E76" w:rsidP="00DF66DF">
      <w:pPr>
        <w:tabs>
          <w:tab w:val="left" w:leader="underscore" w:pos="9639"/>
        </w:tabs>
        <w:spacing w:after="0" w:line="240" w:lineRule="auto"/>
        <w:jc w:val="center"/>
        <w:rPr>
          <w:rFonts w:cs="Calibri"/>
        </w:rPr>
      </w:pPr>
      <w:r w:rsidRPr="00101390">
        <w:rPr>
          <w:rFonts w:cs="Calibri"/>
          <w:b/>
          <w:sz w:val="20"/>
          <w:szCs w:val="20"/>
        </w:rPr>
        <w:lastRenderedPageBreak/>
        <w:t>a)</w:t>
      </w:r>
      <w:r w:rsidRPr="00101390">
        <w:rPr>
          <w:rFonts w:cs="Calibri"/>
          <w:sz w:val="20"/>
          <w:szCs w:val="20"/>
        </w:rPr>
        <w:t xml:space="preserve"> Análisis del comportamiento de la recaudación correspondiente al ente público o cualquier tipo de ingreso, de forma separada los ingresos locales de los federales:</w:t>
      </w:r>
      <w:r w:rsidR="00DF66DF">
        <w:rPr>
          <w:rFonts w:cs="Calibri"/>
          <w:noProof/>
          <w:lang w:eastAsia="es-MX"/>
        </w:rPr>
        <w:t xml:space="preserve">     </w:t>
      </w:r>
    </w:p>
    <w:p w14:paraId="6CEF0D45" w14:textId="77D903A2" w:rsidR="00FD6088" w:rsidRDefault="00C2703F" w:rsidP="00AC22BA">
      <w:pPr>
        <w:tabs>
          <w:tab w:val="left" w:leader="underscore" w:pos="9639"/>
        </w:tabs>
        <w:spacing w:after="0" w:line="240" w:lineRule="auto"/>
        <w:jc w:val="center"/>
        <w:rPr>
          <w:rFonts w:cs="Calibri"/>
          <w:b/>
        </w:rPr>
      </w:pPr>
      <w:r>
        <w:rPr>
          <w:rFonts w:cs="Calibri"/>
          <w:b/>
          <w:noProof/>
          <w:lang w:eastAsia="es-MX"/>
        </w:rPr>
        <w:drawing>
          <wp:inline distT="0" distB="0" distL="0" distR="0" wp14:anchorId="5B6D5117" wp14:editId="6A1CCFB2">
            <wp:extent cx="9144000" cy="5409565"/>
            <wp:effectExtent l="0" t="0" r="0" b="63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4843BD0.tmp"/>
                    <pic:cNvPicPr/>
                  </pic:nvPicPr>
                  <pic:blipFill>
                    <a:blip r:embed="rId12">
                      <a:extLst>
                        <a:ext uri="{28A0092B-C50C-407E-A947-70E740481C1C}">
                          <a14:useLocalDpi xmlns:a14="http://schemas.microsoft.com/office/drawing/2010/main" val="0"/>
                        </a:ext>
                      </a:extLst>
                    </a:blip>
                    <a:stretch>
                      <a:fillRect/>
                    </a:stretch>
                  </pic:blipFill>
                  <pic:spPr>
                    <a:xfrm>
                      <a:off x="0" y="0"/>
                      <a:ext cx="9144000" cy="5409565"/>
                    </a:xfrm>
                    <a:prstGeom prst="rect">
                      <a:avLst/>
                    </a:prstGeom>
                  </pic:spPr>
                </pic:pic>
              </a:graphicData>
            </a:graphic>
          </wp:inline>
        </w:drawing>
      </w:r>
    </w:p>
    <w:p w14:paraId="60E7DE89" w14:textId="77777777" w:rsidR="000C6836" w:rsidRDefault="000C6836" w:rsidP="00CB41C4">
      <w:pPr>
        <w:tabs>
          <w:tab w:val="left" w:leader="underscore" w:pos="9639"/>
        </w:tabs>
        <w:spacing w:after="0" w:line="240" w:lineRule="auto"/>
        <w:jc w:val="both"/>
        <w:rPr>
          <w:rFonts w:cs="Calibri"/>
          <w:b/>
        </w:rPr>
      </w:pPr>
    </w:p>
    <w:p w14:paraId="3A51286E" w14:textId="77777777" w:rsidR="000C6836" w:rsidRDefault="000C6836" w:rsidP="00CB41C4">
      <w:pPr>
        <w:tabs>
          <w:tab w:val="left" w:leader="underscore" w:pos="9639"/>
        </w:tabs>
        <w:spacing w:after="0" w:line="240" w:lineRule="auto"/>
        <w:jc w:val="both"/>
        <w:rPr>
          <w:rFonts w:cs="Calibri"/>
          <w:b/>
        </w:rPr>
      </w:pPr>
    </w:p>
    <w:p w14:paraId="5688C4B3" w14:textId="77777777" w:rsidR="000C6836" w:rsidRDefault="000C6836" w:rsidP="00CB41C4">
      <w:pPr>
        <w:tabs>
          <w:tab w:val="left" w:leader="underscore" w:pos="9639"/>
        </w:tabs>
        <w:spacing w:after="0" w:line="240" w:lineRule="auto"/>
        <w:jc w:val="both"/>
        <w:rPr>
          <w:rFonts w:cs="Calibri"/>
          <w:b/>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533390F5" w14:textId="3C463053" w:rsidR="007D1E76" w:rsidRPr="00E74967" w:rsidRDefault="005E0EF3" w:rsidP="00CB41C4">
      <w:pPr>
        <w:tabs>
          <w:tab w:val="left" w:leader="underscore" w:pos="9639"/>
        </w:tabs>
        <w:spacing w:after="0" w:line="240" w:lineRule="auto"/>
        <w:jc w:val="both"/>
        <w:rPr>
          <w:rFonts w:cs="Calibri"/>
        </w:rPr>
      </w:pPr>
      <w:r>
        <w:rPr>
          <w:rFonts w:cs="Calibri"/>
          <w:noProof/>
          <w:lang w:eastAsia="es-MX"/>
        </w:rPr>
        <w:drawing>
          <wp:inline distT="0" distB="0" distL="0" distR="0" wp14:anchorId="6BB8AB4E" wp14:editId="7009A58F">
            <wp:extent cx="8811855" cy="2734057"/>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484963F.tmp"/>
                    <pic:cNvPicPr/>
                  </pic:nvPicPr>
                  <pic:blipFill>
                    <a:blip r:embed="rId13">
                      <a:extLst>
                        <a:ext uri="{28A0092B-C50C-407E-A947-70E740481C1C}">
                          <a14:useLocalDpi xmlns:a14="http://schemas.microsoft.com/office/drawing/2010/main" val="0"/>
                        </a:ext>
                      </a:extLst>
                    </a:blip>
                    <a:stretch>
                      <a:fillRect/>
                    </a:stretch>
                  </pic:blipFill>
                  <pic:spPr>
                    <a:xfrm>
                      <a:off x="0" y="0"/>
                      <a:ext cx="8811855" cy="2734057"/>
                    </a:xfrm>
                    <a:prstGeom prst="rect">
                      <a:avLst/>
                    </a:prstGeom>
                  </pic:spPr>
                </pic:pic>
              </a:graphicData>
            </a:graphic>
          </wp:inline>
        </w:drawing>
      </w:r>
      <w:r w:rsidR="000C3365">
        <w:rPr>
          <w:rFonts w:cs="Calibri"/>
        </w:rPr>
        <w:tab/>
      </w:r>
      <w:bookmarkStart w:id="9" w:name="_GoBack"/>
      <w:bookmarkEnd w:id="9"/>
      <w:r w:rsidR="000C3365">
        <w:rPr>
          <w:rFonts w:cs="Calibri"/>
        </w:rPr>
        <w:tab/>
      </w:r>
      <w:r w:rsidR="000C3365">
        <w:rPr>
          <w:rFonts w:cs="Calibri"/>
        </w:rPr>
        <w:tab/>
      </w:r>
    </w:p>
    <w:p w14:paraId="7C4CE7E2" w14:textId="77777777" w:rsidR="007D1E76" w:rsidRDefault="007D1E76" w:rsidP="00CB41C4">
      <w:pPr>
        <w:tabs>
          <w:tab w:val="left" w:leader="underscore" w:pos="9639"/>
        </w:tabs>
        <w:spacing w:after="0" w:line="240" w:lineRule="auto"/>
        <w:jc w:val="both"/>
        <w:rPr>
          <w:rFonts w:cs="Calibri"/>
        </w:rPr>
      </w:pPr>
    </w:p>
    <w:p w14:paraId="2D68C3FC" w14:textId="7BAEB103" w:rsidR="007D1E76" w:rsidRPr="00FD6088" w:rsidRDefault="007D1E76" w:rsidP="000C3365">
      <w:pPr>
        <w:pStyle w:val="Ttulo2"/>
        <w:rPr>
          <w:rFonts w:asciiTheme="minorHAnsi" w:hAnsiTheme="minorHAnsi" w:cstheme="minorHAnsi"/>
          <w:b/>
          <w:color w:val="auto"/>
          <w:sz w:val="20"/>
          <w:szCs w:val="20"/>
        </w:rPr>
      </w:pPr>
      <w:bookmarkStart w:id="10" w:name="_Toc161472875"/>
      <w:r w:rsidRPr="00FD6088">
        <w:rPr>
          <w:rFonts w:asciiTheme="minorHAnsi" w:hAnsiTheme="minorHAnsi" w:cstheme="minorHAnsi"/>
          <w:b/>
          <w:color w:val="auto"/>
          <w:sz w:val="20"/>
          <w:szCs w:val="20"/>
        </w:rPr>
        <w:t>1</w:t>
      </w:r>
      <w:r w:rsidR="00106EE9" w:rsidRPr="00FD6088">
        <w:rPr>
          <w:rFonts w:asciiTheme="minorHAnsi" w:hAnsiTheme="minorHAnsi" w:cstheme="minorHAnsi"/>
          <w:b/>
          <w:color w:val="auto"/>
          <w:sz w:val="20"/>
          <w:szCs w:val="20"/>
        </w:rPr>
        <w:t>0</w:t>
      </w:r>
      <w:r w:rsidRPr="00FD6088">
        <w:rPr>
          <w:rFonts w:asciiTheme="minorHAnsi" w:hAnsiTheme="minorHAnsi" w:cstheme="minorHAnsi"/>
          <w:b/>
          <w:color w:val="auto"/>
          <w:sz w:val="20"/>
          <w:szCs w:val="20"/>
        </w:rPr>
        <w:t>. Información sobre la Deuda y el R</w:t>
      </w:r>
      <w:r w:rsidR="005E231E" w:rsidRPr="00FD6088">
        <w:rPr>
          <w:rFonts w:asciiTheme="minorHAnsi" w:hAnsiTheme="minorHAnsi" w:cstheme="minorHAnsi"/>
          <w:b/>
          <w:color w:val="auto"/>
          <w:sz w:val="20"/>
          <w:szCs w:val="20"/>
        </w:rPr>
        <w:t>eporte Analítico de la Deuda:</w:t>
      </w:r>
      <w:bookmarkEnd w:id="10"/>
    </w:p>
    <w:p w14:paraId="582AC00A" w14:textId="5162A197" w:rsidR="00767813" w:rsidRPr="00FD6088" w:rsidRDefault="007D1E76" w:rsidP="00767813">
      <w:pPr>
        <w:tabs>
          <w:tab w:val="left" w:leader="underscore" w:pos="9639"/>
        </w:tabs>
        <w:spacing w:after="0" w:line="240" w:lineRule="auto"/>
        <w:jc w:val="both"/>
        <w:rPr>
          <w:rFonts w:cs="Calibri"/>
          <w:sz w:val="20"/>
          <w:szCs w:val="20"/>
        </w:rPr>
      </w:pPr>
      <w:r w:rsidRPr="00FD6088">
        <w:rPr>
          <w:rFonts w:cs="Calibri"/>
          <w:b/>
          <w:sz w:val="20"/>
          <w:szCs w:val="20"/>
        </w:rPr>
        <w:t>a)</w:t>
      </w:r>
      <w:r w:rsidRPr="00FD6088">
        <w:rPr>
          <w:rFonts w:cs="Calibri"/>
          <w:sz w:val="20"/>
          <w:szCs w:val="20"/>
        </w:rPr>
        <w:t xml:space="preserve"> Utilizar al menos los siguientes indicadores: deuda respecto al PIB y deuda respecto a la recaudación tomando, como mínimo, un período igual o menor a 5 años.</w:t>
      </w:r>
      <w:r w:rsidR="00F34B46" w:rsidRPr="00FD6088">
        <w:rPr>
          <w:rFonts w:cs="Calibri"/>
          <w:sz w:val="20"/>
          <w:szCs w:val="20"/>
        </w:rPr>
        <w:t xml:space="preserve"> </w:t>
      </w:r>
      <w:r w:rsidR="00767813" w:rsidRPr="00FD6088">
        <w:rPr>
          <w:rFonts w:cs="Calibri"/>
          <w:sz w:val="20"/>
          <w:szCs w:val="20"/>
          <w:lang w:val="es-ES" w:eastAsia="es-ES"/>
        </w:rPr>
        <w:t>Sin información que revelar en el periodo</w:t>
      </w:r>
    </w:p>
    <w:p w14:paraId="26034E41" w14:textId="77777777" w:rsidR="007D1E76" w:rsidRPr="00FD6088" w:rsidRDefault="007D1E76" w:rsidP="00CB41C4">
      <w:pPr>
        <w:tabs>
          <w:tab w:val="left" w:leader="underscore" w:pos="9639"/>
        </w:tabs>
        <w:spacing w:after="0" w:line="240" w:lineRule="auto"/>
        <w:jc w:val="both"/>
        <w:rPr>
          <w:rFonts w:cs="Calibri"/>
          <w:sz w:val="20"/>
          <w:szCs w:val="20"/>
        </w:rPr>
      </w:pPr>
      <w:r w:rsidRPr="00FD6088">
        <w:rPr>
          <w:rFonts w:cs="Calibri"/>
          <w:b/>
          <w:sz w:val="20"/>
          <w:szCs w:val="20"/>
        </w:rPr>
        <w:t>b)</w:t>
      </w:r>
      <w:r w:rsidRPr="00FD6088">
        <w:rPr>
          <w:rFonts w:cs="Calibri"/>
          <w:sz w:val="20"/>
          <w:szCs w:val="20"/>
        </w:rPr>
        <w:t xml:space="preserve"> Información de manera agrupada por tipo de valor gubernamental o instrumento financiero en la que se considere</w:t>
      </w:r>
      <w:r w:rsidR="001973A2" w:rsidRPr="00FD6088">
        <w:rPr>
          <w:rFonts w:cs="Calibri"/>
          <w:sz w:val="20"/>
          <w:szCs w:val="20"/>
        </w:rPr>
        <w:t>n</w:t>
      </w:r>
      <w:r w:rsidRPr="00FD6088">
        <w:rPr>
          <w:rFonts w:cs="Calibri"/>
          <w:sz w:val="20"/>
          <w:szCs w:val="20"/>
        </w:rPr>
        <w:t xml:space="preserve"> intereses, comisiones, tasa, perfil de vencimiento y otros gastos de la deuda.</w:t>
      </w:r>
    </w:p>
    <w:p w14:paraId="7B162E00" w14:textId="12E708A8" w:rsidR="00767813" w:rsidRPr="00FD6088" w:rsidRDefault="007D1E76" w:rsidP="00767813">
      <w:pPr>
        <w:tabs>
          <w:tab w:val="left" w:leader="underscore" w:pos="9639"/>
        </w:tabs>
        <w:spacing w:after="0" w:line="240" w:lineRule="auto"/>
        <w:jc w:val="both"/>
        <w:rPr>
          <w:rFonts w:cs="Calibri"/>
          <w:sz w:val="20"/>
          <w:szCs w:val="20"/>
        </w:rPr>
      </w:pPr>
      <w:r w:rsidRPr="00FD6088">
        <w:rPr>
          <w:rFonts w:cs="Calibri"/>
          <w:sz w:val="20"/>
          <w:szCs w:val="20"/>
        </w:rPr>
        <w:t xml:space="preserve">* Se </w:t>
      </w:r>
      <w:r w:rsidR="000C3365" w:rsidRPr="00FD6088">
        <w:rPr>
          <w:rFonts w:cs="Calibri"/>
          <w:sz w:val="20"/>
          <w:szCs w:val="20"/>
        </w:rPr>
        <w:t>anexará</w:t>
      </w:r>
      <w:r w:rsidRPr="00FD6088">
        <w:rPr>
          <w:rFonts w:cs="Calibri"/>
          <w:sz w:val="20"/>
          <w:szCs w:val="20"/>
        </w:rPr>
        <w:t xml:space="preserve"> la informació</w:t>
      </w:r>
      <w:r w:rsidR="005E231E" w:rsidRPr="00FD6088">
        <w:rPr>
          <w:rFonts w:cs="Calibri"/>
          <w:sz w:val="20"/>
          <w:szCs w:val="20"/>
        </w:rPr>
        <w:t>n en las notas de desglose.</w:t>
      </w:r>
      <w:r w:rsidR="00F34B46" w:rsidRPr="00FD6088">
        <w:rPr>
          <w:rFonts w:cs="Calibri"/>
          <w:sz w:val="20"/>
          <w:szCs w:val="20"/>
        </w:rPr>
        <w:t xml:space="preserve"> </w:t>
      </w:r>
      <w:r w:rsidR="00767813" w:rsidRPr="00FD6088">
        <w:rPr>
          <w:rFonts w:cs="Calibri"/>
          <w:sz w:val="20"/>
          <w:szCs w:val="20"/>
          <w:lang w:val="es-ES" w:eastAsia="es-ES"/>
        </w:rPr>
        <w:t>Sin información que revelar en el periodo</w:t>
      </w:r>
    </w:p>
    <w:p w14:paraId="19C64A34" w14:textId="7E11CC12" w:rsidR="007D1E76" w:rsidRPr="00FD6088" w:rsidRDefault="007D1E76" w:rsidP="000C3365">
      <w:pPr>
        <w:pStyle w:val="Ttulo2"/>
        <w:rPr>
          <w:rFonts w:asciiTheme="minorHAnsi" w:hAnsiTheme="minorHAnsi" w:cstheme="minorHAnsi"/>
          <w:b/>
          <w:color w:val="auto"/>
          <w:sz w:val="20"/>
          <w:szCs w:val="20"/>
        </w:rPr>
      </w:pPr>
      <w:bookmarkStart w:id="11" w:name="_Toc161472876"/>
      <w:r w:rsidRPr="00FD6088">
        <w:rPr>
          <w:rFonts w:asciiTheme="minorHAnsi" w:hAnsiTheme="minorHAnsi" w:cstheme="minorHAnsi"/>
          <w:b/>
          <w:color w:val="auto"/>
          <w:sz w:val="20"/>
          <w:szCs w:val="20"/>
        </w:rPr>
        <w:t>1</w:t>
      </w:r>
      <w:r w:rsidR="005F2900" w:rsidRPr="00FD6088">
        <w:rPr>
          <w:rFonts w:asciiTheme="minorHAnsi" w:hAnsiTheme="minorHAnsi" w:cstheme="minorHAnsi"/>
          <w:b/>
          <w:color w:val="auto"/>
          <w:sz w:val="20"/>
          <w:szCs w:val="20"/>
        </w:rPr>
        <w:t>1</w:t>
      </w:r>
      <w:r w:rsidRPr="00FD6088">
        <w:rPr>
          <w:rFonts w:asciiTheme="minorHAnsi" w:hAnsiTheme="minorHAnsi" w:cstheme="minorHAnsi"/>
          <w:b/>
          <w:color w:val="auto"/>
          <w:sz w:val="20"/>
          <w:szCs w:val="20"/>
        </w:rPr>
        <w:t>.</w:t>
      </w:r>
      <w:r w:rsidR="005E231E" w:rsidRPr="00FD6088">
        <w:rPr>
          <w:rFonts w:asciiTheme="minorHAnsi" w:hAnsiTheme="minorHAnsi" w:cstheme="minorHAnsi"/>
          <w:b/>
          <w:color w:val="auto"/>
          <w:sz w:val="20"/>
          <w:szCs w:val="20"/>
        </w:rPr>
        <w:t xml:space="preserve"> Calificaciones otorgadas:</w:t>
      </w:r>
      <w:bookmarkEnd w:id="11"/>
    </w:p>
    <w:p w14:paraId="1CEFA532" w14:textId="78308C3B" w:rsidR="00767813" w:rsidRPr="00FD6088" w:rsidRDefault="007D1E76" w:rsidP="00767813">
      <w:pPr>
        <w:tabs>
          <w:tab w:val="left" w:leader="underscore" w:pos="9639"/>
        </w:tabs>
        <w:spacing w:after="0" w:line="240" w:lineRule="auto"/>
        <w:jc w:val="both"/>
        <w:rPr>
          <w:rFonts w:cs="Calibri"/>
          <w:sz w:val="20"/>
          <w:szCs w:val="20"/>
        </w:rPr>
      </w:pPr>
      <w:r w:rsidRPr="00FD6088">
        <w:rPr>
          <w:rFonts w:cs="Calibri"/>
          <w:sz w:val="20"/>
          <w:szCs w:val="20"/>
        </w:rPr>
        <w:t>Informar, tanto del ente público como cualquier transacción realizada, que haya sido sujeta a una calificación crediticia:</w:t>
      </w:r>
      <w:r w:rsidR="00F34B46" w:rsidRPr="00FD6088">
        <w:rPr>
          <w:rFonts w:cs="Calibri"/>
          <w:sz w:val="20"/>
          <w:szCs w:val="20"/>
        </w:rPr>
        <w:t xml:space="preserve"> </w:t>
      </w:r>
      <w:r w:rsidR="00767813" w:rsidRPr="00FD6088">
        <w:rPr>
          <w:rFonts w:cs="Calibri"/>
          <w:sz w:val="20"/>
          <w:szCs w:val="20"/>
          <w:lang w:val="es-ES" w:eastAsia="es-ES"/>
        </w:rPr>
        <w:t>Sin información que revelar en el periodo</w:t>
      </w:r>
    </w:p>
    <w:p w14:paraId="10B4C763" w14:textId="7FFDB478" w:rsidR="007D1E76" w:rsidRPr="00FD6088" w:rsidRDefault="007D1E76" w:rsidP="000C3365">
      <w:pPr>
        <w:pStyle w:val="Ttulo2"/>
        <w:rPr>
          <w:rFonts w:asciiTheme="minorHAnsi" w:hAnsiTheme="minorHAnsi" w:cstheme="minorHAnsi"/>
          <w:b/>
          <w:color w:val="auto"/>
          <w:sz w:val="20"/>
          <w:szCs w:val="20"/>
        </w:rPr>
      </w:pPr>
      <w:bookmarkStart w:id="12" w:name="_Toc161472877"/>
      <w:r w:rsidRPr="00FD6088">
        <w:rPr>
          <w:rFonts w:asciiTheme="minorHAnsi" w:hAnsiTheme="minorHAnsi" w:cstheme="minorHAnsi"/>
          <w:b/>
          <w:color w:val="auto"/>
          <w:sz w:val="20"/>
          <w:szCs w:val="20"/>
        </w:rPr>
        <w:t>1</w:t>
      </w:r>
      <w:r w:rsidR="00F6759B" w:rsidRPr="00FD6088">
        <w:rPr>
          <w:rFonts w:asciiTheme="minorHAnsi" w:hAnsiTheme="minorHAnsi" w:cstheme="minorHAnsi"/>
          <w:b/>
          <w:color w:val="auto"/>
          <w:sz w:val="20"/>
          <w:szCs w:val="20"/>
        </w:rPr>
        <w:t>2</w:t>
      </w:r>
      <w:r w:rsidRPr="00FD6088">
        <w:rPr>
          <w:rFonts w:asciiTheme="minorHAnsi" w:hAnsiTheme="minorHAnsi" w:cstheme="minorHAnsi"/>
          <w:b/>
          <w:color w:val="auto"/>
          <w:sz w:val="20"/>
          <w:szCs w:val="20"/>
        </w:rPr>
        <w:t>. Proceso de Mejora:</w:t>
      </w:r>
      <w:bookmarkEnd w:id="12"/>
    </w:p>
    <w:p w14:paraId="171672D2" w14:textId="77777777" w:rsidR="007D1E76" w:rsidRPr="00FD6088" w:rsidRDefault="007D1E76" w:rsidP="00CB41C4">
      <w:pPr>
        <w:tabs>
          <w:tab w:val="left" w:leader="underscore" w:pos="9639"/>
        </w:tabs>
        <w:spacing w:after="0" w:line="240" w:lineRule="auto"/>
        <w:jc w:val="both"/>
        <w:rPr>
          <w:rFonts w:cs="Calibri"/>
          <w:sz w:val="20"/>
          <w:szCs w:val="20"/>
        </w:rPr>
      </w:pPr>
      <w:r w:rsidRPr="00FD6088">
        <w:rPr>
          <w:rFonts w:cs="Calibri"/>
          <w:sz w:val="20"/>
          <w:szCs w:val="20"/>
        </w:rPr>
        <w:t>Se informará de:</w:t>
      </w:r>
    </w:p>
    <w:p w14:paraId="4D639AB5" w14:textId="77777777" w:rsidR="007D1E76" w:rsidRPr="00FD6088" w:rsidRDefault="007D1E76" w:rsidP="00CB41C4">
      <w:pPr>
        <w:tabs>
          <w:tab w:val="left" w:leader="underscore" w:pos="9639"/>
        </w:tabs>
        <w:spacing w:after="0" w:line="240" w:lineRule="auto"/>
        <w:jc w:val="both"/>
        <w:rPr>
          <w:rFonts w:cs="Calibri"/>
          <w:sz w:val="20"/>
          <w:szCs w:val="20"/>
        </w:rPr>
      </w:pPr>
      <w:r w:rsidRPr="00FD6088">
        <w:rPr>
          <w:rFonts w:cs="Calibri"/>
          <w:b/>
          <w:sz w:val="20"/>
          <w:szCs w:val="20"/>
        </w:rPr>
        <w:t>a)</w:t>
      </w:r>
      <w:r w:rsidRPr="00FD6088">
        <w:rPr>
          <w:rFonts w:cs="Calibri"/>
          <w:sz w:val="20"/>
          <w:szCs w:val="20"/>
        </w:rPr>
        <w:t xml:space="preserve"> Principales Políticas de control interno:</w:t>
      </w:r>
    </w:p>
    <w:p w14:paraId="0132FB08" w14:textId="52252E8C" w:rsidR="007D1E76" w:rsidRPr="00FD6088" w:rsidRDefault="00767813" w:rsidP="00CB41C4">
      <w:pPr>
        <w:tabs>
          <w:tab w:val="left" w:leader="underscore" w:pos="9639"/>
        </w:tabs>
        <w:spacing w:after="0" w:line="240" w:lineRule="auto"/>
        <w:jc w:val="both"/>
        <w:rPr>
          <w:rFonts w:cs="Calibri"/>
          <w:sz w:val="20"/>
          <w:szCs w:val="20"/>
        </w:rPr>
      </w:pPr>
      <w:r w:rsidRPr="00FD6088">
        <w:rPr>
          <w:rFonts w:ascii="Arial" w:hAnsi="Arial" w:cs="Arial"/>
          <w:sz w:val="20"/>
          <w:szCs w:val="20"/>
          <w:lang w:val="es-ES" w:eastAsia="es-ES"/>
        </w:rPr>
        <w:t>Se implementó que la totalidad de los pagos a proveedores de bienes y servicios se haga a través de transferencias electrónicas y en su caso con cheque nominativo para abono en cuenta del beneficiario</w:t>
      </w:r>
    </w:p>
    <w:p w14:paraId="59CFF4B2" w14:textId="77777777" w:rsidR="007D1E76" w:rsidRPr="00FD6088" w:rsidRDefault="007D1E76" w:rsidP="00CB41C4">
      <w:pPr>
        <w:tabs>
          <w:tab w:val="left" w:leader="underscore" w:pos="9639"/>
        </w:tabs>
        <w:spacing w:after="0" w:line="240" w:lineRule="auto"/>
        <w:jc w:val="both"/>
        <w:rPr>
          <w:rFonts w:cs="Calibri"/>
          <w:sz w:val="20"/>
          <w:szCs w:val="20"/>
        </w:rPr>
      </w:pPr>
      <w:r w:rsidRPr="00FD6088">
        <w:rPr>
          <w:rFonts w:cs="Calibri"/>
          <w:b/>
          <w:sz w:val="20"/>
          <w:szCs w:val="20"/>
        </w:rPr>
        <w:t>b)</w:t>
      </w:r>
      <w:r w:rsidRPr="00FD6088">
        <w:rPr>
          <w:rFonts w:cs="Calibri"/>
          <w:sz w:val="20"/>
          <w:szCs w:val="20"/>
        </w:rPr>
        <w:t xml:space="preserve"> Medidas de desempeño financiero, metas y alcance:</w:t>
      </w:r>
    </w:p>
    <w:p w14:paraId="1B2DB2DD" w14:textId="2C24F6B9" w:rsidR="00767813" w:rsidRPr="00FD6088" w:rsidRDefault="00767813" w:rsidP="00767813">
      <w:pPr>
        <w:spacing w:after="0" w:line="240" w:lineRule="auto"/>
        <w:jc w:val="both"/>
        <w:rPr>
          <w:rFonts w:cs="Calibri"/>
          <w:sz w:val="20"/>
          <w:szCs w:val="20"/>
        </w:rPr>
      </w:pPr>
      <w:r w:rsidRPr="00FD6088">
        <w:rPr>
          <w:rFonts w:cs="Calibri"/>
          <w:sz w:val="20"/>
          <w:szCs w:val="20"/>
        </w:rPr>
        <w:t>Este rubro se presenta de forma analítica a través de los Informes Programáticos, en el estado financiero Indicador para Resultados IR_2024.</w:t>
      </w:r>
    </w:p>
    <w:p w14:paraId="3D010C2A" w14:textId="279F5D07" w:rsidR="007D1E76" w:rsidRPr="00FD6088" w:rsidRDefault="007D1E76" w:rsidP="000C3365">
      <w:pPr>
        <w:pStyle w:val="Ttulo2"/>
        <w:rPr>
          <w:rFonts w:asciiTheme="minorHAnsi" w:hAnsiTheme="minorHAnsi" w:cstheme="minorHAnsi"/>
          <w:b/>
          <w:color w:val="auto"/>
          <w:sz w:val="20"/>
          <w:szCs w:val="20"/>
        </w:rPr>
      </w:pPr>
      <w:bookmarkStart w:id="13" w:name="_Toc161472878"/>
      <w:r w:rsidRPr="00FD6088">
        <w:rPr>
          <w:rFonts w:asciiTheme="minorHAnsi" w:hAnsiTheme="minorHAnsi" w:cstheme="minorHAnsi"/>
          <w:b/>
          <w:color w:val="auto"/>
          <w:sz w:val="20"/>
          <w:szCs w:val="20"/>
        </w:rPr>
        <w:lastRenderedPageBreak/>
        <w:t>1</w:t>
      </w:r>
      <w:r w:rsidR="00F6759B" w:rsidRPr="00FD6088">
        <w:rPr>
          <w:rFonts w:asciiTheme="minorHAnsi" w:hAnsiTheme="minorHAnsi" w:cstheme="minorHAnsi"/>
          <w:b/>
          <w:color w:val="auto"/>
          <w:sz w:val="20"/>
          <w:szCs w:val="20"/>
        </w:rPr>
        <w:t>3</w:t>
      </w:r>
      <w:r w:rsidR="005E231E" w:rsidRPr="00FD6088">
        <w:rPr>
          <w:rFonts w:asciiTheme="minorHAnsi" w:hAnsiTheme="minorHAnsi" w:cstheme="minorHAnsi"/>
          <w:b/>
          <w:color w:val="auto"/>
          <w:sz w:val="20"/>
          <w:szCs w:val="20"/>
        </w:rPr>
        <w:t>. Información por Segmentos:</w:t>
      </w:r>
      <w:bookmarkEnd w:id="13"/>
    </w:p>
    <w:p w14:paraId="64BC1596" w14:textId="46D52ADD" w:rsidR="007D1E76" w:rsidRPr="00FD6088" w:rsidRDefault="00806269" w:rsidP="00CB41C4">
      <w:pPr>
        <w:tabs>
          <w:tab w:val="left" w:leader="underscore" w:pos="9639"/>
        </w:tabs>
        <w:spacing w:after="0" w:line="240" w:lineRule="auto"/>
        <w:jc w:val="both"/>
        <w:rPr>
          <w:rFonts w:cs="Calibri"/>
          <w:sz w:val="20"/>
          <w:szCs w:val="20"/>
        </w:rPr>
      </w:pPr>
      <w:r w:rsidRPr="00FD6088">
        <w:rPr>
          <w:rFonts w:cs="Calibri"/>
          <w:sz w:val="20"/>
          <w:szCs w:val="20"/>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FD6088">
        <w:rPr>
          <w:rFonts w:cs="Calibri"/>
          <w:sz w:val="20"/>
          <w:szCs w:val="20"/>
        </w:rPr>
        <w:t>.</w:t>
      </w:r>
    </w:p>
    <w:p w14:paraId="4572BFCD" w14:textId="77777777" w:rsidR="00101390" w:rsidRPr="00FD6088" w:rsidRDefault="007D1E76" w:rsidP="00101390">
      <w:pPr>
        <w:tabs>
          <w:tab w:val="left" w:leader="underscore" w:pos="9639"/>
        </w:tabs>
        <w:spacing w:after="0" w:line="240" w:lineRule="auto"/>
        <w:jc w:val="both"/>
        <w:rPr>
          <w:rFonts w:cs="Calibri"/>
          <w:sz w:val="20"/>
          <w:szCs w:val="20"/>
          <w:lang w:val="es-ES" w:eastAsia="es-ES"/>
        </w:rPr>
      </w:pPr>
      <w:r w:rsidRPr="00FD6088">
        <w:rPr>
          <w:rFonts w:cs="Calibri"/>
          <w:sz w:val="20"/>
          <w:szCs w:val="20"/>
        </w:rPr>
        <w:t>Consecuentemente, esta información contribuye al análisis más preciso de la situación financiera, grados y fuentes de riesgo y crec</w:t>
      </w:r>
      <w:r w:rsidR="005E231E" w:rsidRPr="00FD6088">
        <w:rPr>
          <w:rFonts w:cs="Calibri"/>
          <w:sz w:val="20"/>
          <w:szCs w:val="20"/>
        </w:rPr>
        <w:t>imiento potencial de negocio.</w:t>
      </w:r>
      <w:r w:rsidR="00F34B46" w:rsidRPr="00FD6088">
        <w:rPr>
          <w:rFonts w:cs="Calibri"/>
          <w:sz w:val="20"/>
          <w:szCs w:val="20"/>
        </w:rPr>
        <w:t xml:space="preserve"> </w:t>
      </w:r>
      <w:r w:rsidR="00767813" w:rsidRPr="00FD6088">
        <w:rPr>
          <w:rFonts w:cs="Calibri"/>
          <w:sz w:val="20"/>
          <w:szCs w:val="20"/>
          <w:lang w:val="es-ES" w:eastAsia="es-ES"/>
        </w:rPr>
        <w:t>Sin información que revelar en el periodo</w:t>
      </w:r>
      <w:bookmarkStart w:id="14" w:name="_Toc161472879"/>
    </w:p>
    <w:p w14:paraId="5CE772DA" w14:textId="5E34EDBE" w:rsidR="007D1E76" w:rsidRDefault="007D1E76" w:rsidP="00101390">
      <w:pPr>
        <w:tabs>
          <w:tab w:val="left" w:leader="underscore" w:pos="9639"/>
        </w:tabs>
        <w:spacing w:after="0" w:line="240" w:lineRule="auto"/>
        <w:jc w:val="both"/>
        <w:rPr>
          <w:rFonts w:asciiTheme="minorHAnsi" w:hAnsiTheme="minorHAnsi" w:cstheme="minorHAnsi"/>
          <w:b/>
          <w:sz w:val="20"/>
          <w:szCs w:val="20"/>
        </w:rPr>
      </w:pPr>
      <w:r w:rsidRPr="00FD6088">
        <w:rPr>
          <w:rFonts w:asciiTheme="minorHAnsi" w:hAnsiTheme="minorHAnsi" w:cstheme="minorHAnsi"/>
          <w:b/>
          <w:sz w:val="20"/>
          <w:szCs w:val="20"/>
        </w:rPr>
        <w:t>1</w:t>
      </w:r>
      <w:r w:rsidR="004A1077" w:rsidRPr="00FD6088">
        <w:rPr>
          <w:rFonts w:asciiTheme="minorHAnsi" w:hAnsiTheme="minorHAnsi" w:cstheme="minorHAnsi"/>
          <w:b/>
          <w:sz w:val="20"/>
          <w:szCs w:val="20"/>
        </w:rPr>
        <w:t>4</w:t>
      </w:r>
      <w:r w:rsidRPr="00FD6088">
        <w:rPr>
          <w:rFonts w:asciiTheme="minorHAnsi" w:hAnsiTheme="minorHAnsi" w:cstheme="minorHAnsi"/>
          <w:b/>
          <w:sz w:val="20"/>
          <w:szCs w:val="20"/>
        </w:rPr>
        <w:t>. E</w:t>
      </w:r>
      <w:r w:rsidR="005E231E" w:rsidRPr="00FD6088">
        <w:rPr>
          <w:rFonts w:asciiTheme="minorHAnsi" w:hAnsiTheme="minorHAnsi" w:cstheme="minorHAnsi"/>
          <w:b/>
          <w:sz w:val="20"/>
          <w:szCs w:val="20"/>
        </w:rPr>
        <w:t>ventos Posteriores al Cierre:</w:t>
      </w:r>
      <w:bookmarkEnd w:id="14"/>
    </w:p>
    <w:p w14:paraId="4B0FC4B6" w14:textId="7A4D0323" w:rsidR="00BC53FA" w:rsidRPr="00FD6088" w:rsidRDefault="00BC53FA" w:rsidP="00101390">
      <w:pPr>
        <w:tabs>
          <w:tab w:val="left" w:leader="underscore" w:pos="9639"/>
        </w:tabs>
        <w:spacing w:after="0" w:line="240" w:lineRule="auto"/>
        <w:jc w:val="both"/>
        <w:rPr>
          <w:rFonts w:cs="Calibri"/>
          <w:sz w:val="20"/>
          <w:szCs w:val="20"/>
        </w:rPr>
      </w:pPr>
      <w:r w:rsidRPr="00101390">
        <w:rPr>
          <w:rFonts w:ascii="Arial" w:hAnsi="Arial" w:cs="Arial"/>
          <w:sz w:val="20"/>
          <w:szCs w:val="20"/>
          <w:lang w:val="es-ES" w:eastAsia="es-ES"/>
        </w:rPr>
        <w:t>Sin información que revelar en el periodo</w:t>
      </w:r>
    </w:p>
    <w:p w14:paraId="3CC9AECC" w14:textId="4681A2A9" w:rsidR="007D1E76" w:rsidRPr="00FD6088" w:rsidRDefault="005E231E" w:rsidP="000C3365">
      <w:pPr>
        <w:pStyle w:val="Ttulo2"/>
        <w:rPr>
          <w:rFonts w:asciiTheme="minorHAnsi" w:hAnsiTheme="minorHAnsi" w:cstheme="minorHAnsi"/>
          <w:b/>
          <w:color w:val="auto"/>
          <w:sz w:val="20"/>
          <w:szCs w:val="20"/>
        </w:rPr>
      </w:pPr>
      <w:bookmarkStart w:id="15" w:name="_Toc161472880"/>
      <w:r w:rsidRPr="00FD6088">
        <w:rPr>
          <w:rFonts w:asciiTheme="minorHAnsi" w:hAnsiTheme="minorHAnsi" w:cstheme="minorHAnsi"/>
          <w:b/>
          <w:color w:val="auto"/>
          <w:sz w:val="20"/>
          <w:szCs w:val="20"/>
        </w:rPr>
        <w:t>1</w:t>
      </w:r>
      <w:r w:rsidR="001C34BC" w:rsidRPr="00FD6088">
        <w:rPr>
          <w:rFonts w:asciiTheme="minorHAnsi" w:hAnsiTheme="minorHAnsi" w:cstheme="minorHAnsi"/>
          <w:b/>
          <w:color w:val="auto"/>
          <w:sz w:val="20"/>
          <w:szCs w:val="20"/>
        </w:rPr>
        <w:t>5</w:t>
      </w:r>
      <w:r w:rsidRPr="00FD6088">
        <w:rPr>
          <w:rFonts w:asciiTheme="minorHAnsi" w:hAnsiTheme="minorHAnsi" w:cstheme="minorHAnsi"/>
          <w:b/>
          <w:color w:val="auto"/>
          <w:sz w:val="20"/>
          <w:szCs w:val="20"/>
        </w:rPr>
        <w:t>. Partes Relacionadas:</w:t>
      </w:r>
      <w:bookmarkEnd w:id="15"/>
    </w:p>
    <w:p w14:paraId="777E5C6F" w14:textId="77777777" w:rsidR="00BC53FA" w:rsidRDefault="007D1E76" w:rsidP="00767813">
      <w:pPr>
        <w:tabs>
          <w:tab w:val="left" w:leader="underscore" w:pos="9639"/>
        </w:tabs>
        <w:spacing w:after="0" w:line="240" w:lineRule="auto"/>
        <w:jc w:val="both"/>
        <w:rPr>
          <w:rFonts w:cs="Calibri"/>
          <w:sz w:val="20"/>
          <w:szCs w:val="20"/>
        </w:rPr>
      </w:pPr>
      <w:r w:rsidRPr="00FD6088">
        <w:rPr>
          <w:rFonts w:cs="Calibri"/>
          <w:sz w:val="20"/>
          <w:szCs w:val="20"/>
        </w:rPr>
        <w:t>Se debe establecer por escrito que no existen partes relacionadas que pudieran ejercer influencia significativa sobre la toma de decisiones financieras y operativas:</w:t>
      </w:r>
      <w:r w:rsidR="00F34B46" w:rsidRPr="00FD6088">
        <w:rPr>
          <w:rFonts w:cs="Calibri"/>
          <w:sz w:val="20"/>
          <w:szCs w:val="20"/>
        </w:rPr>
        <w:t xml:space="preserve"> </w:t>
      </w:r>
    </w:p>
    <w:p w14:paraId="66DFAB6E" w14:textId="45ACFEF1" w:rsidR="00767813" w:rsidRPr="00FD6088" w:rsidRDefault="00767813" w:rsidP="00767813">
      <w:pPr>
        <w:tabs>
          <w:tab w:val="left" w:leader="underscore" w:pos="9639"/>
        </w:tabs>
        <w:spacing w:after="0" w:line="240" w:lineRule="auto"/>
        <w:jc w:val="both"/>
        <w:rPr>
          <w:rFonts w:cs="Calibri"/>
          <w:sz w:val="20"/>
          <w:szCs w:val="20"/>
        </w:rPr>
      </w:pPr>
      <w:r w:rsidRPr="00FD6088">
        <w:rPr>
          <w:rFonts w:cs="Calibri"/>
          <w:sz w:val="20"/>
          <w:szCs w:val="20"/>
          <w:lang w:val="es-ES" w:eastAsia="es-ES"/>
        </w:rPr>
        <w:t>Sin información que revelar en el periodo</w:t>
      </w:r>
    </w:p>
    <w:p w14:paraId="06707DA2" w14:textId="111599B2" w:rsidR="007D1E76" w:rsidRPr="00FD6088" w:rsidRDefault="007D1E76" w:rsidP="00F46719">
      <w:pPr>
        <w:pStyle w:val="Ttulo2"/>
        <w:rPr>
          <w:rFonts w:asciiTheme="minorHAnsi" w:hAnsiTheme="minorHAnsi" w:cstheme="minorHAnsi"/>
          <w:b/>
          <w:color w:val="auto"/>
          <w:sz w:val="20"/>
          <w:szCs w:val="20"/>
        </w:rPr>
      </w:pPr>
      <w:bookmarkStart w:id="16" w:name="_Toc161472881"/>
      <w:r w:rsidRPr="00FD6088">
        <w:rPr>
          <w:rFonts w:asciiTheme="minorHAnsi" w:hAnsiTheme="minorHAnsi" w:cstheme="minorHAnsi"/>
          <w:b/>
          <w:color w:val="auto"/>
          <w:sz w:val="20"/>
          <w:szCs w:val="20"/>
        </w:rPr>
        <w:t>1</w:t>
      </w:r>
      <w:r w:rsidR="001C34BC" w:rsidRPr="00FD6088">
        <w:rPr>
          <w:rFonts w:asciiTheme="minorHAnsi" w:hAnsiTheme="minorHAnsi" w:cstheme="minorHAnsi"/>
          <w:b/>
          <w:color w:val="auto"/>
          <w:sz w:val="20"/>
          <w:szCs w:val="20"/>
        </w:rPr>
        <w:t>6</w:t>
      </w:r>
      <w:r w:rsidRPr="00FD6088">
        <w:rPr>
          <w:rFonts w:asciiTheme="minorHAnsi" w:hAnsiTheme="minorHAnsi" w:cstheme="minorHAnsi"/>
          <w:b/>
          <w:color w:val="auto"/>
          <w:sz w:val="20"/>
          <w:szCs w:val="20"/>
        </w:rPr>
        <w:t xml:space="preserve">. </w:t>
      </w:r>
      <w:r w:rsidR="001973A2" w:rsidRPr="00FD6088">
        <w:rPr>
          <w:rFonts w:asciiTheme="minorHAnsi" w:hAnsiTheme="minorHAnsi" w:cstheme="minorHAnsi"/>
          <w:b/>
          <w:color w:val="auto"/>
          <w:sz w:val="20"/>
          <w:szCs w:val="20"/>
        </w:rPr>
        <w:t>Responsabilidad Sobre la Presentación Razonable de la Información Contable</w:t>
      </w:r>
      <w:r w:rsidR="005E231E" w:rsidRPr="00FD6088">
        <w:rPr>
          <w:rFonts w:asciiTheme="minorHAnsi" w:hAnsiTheme="minorHAnsi" w:cstheme="minorHAnsi"/>
          <w:b/>
          <w:color w:val="auto"/>
          <w:sz w:val="20"/>
          <w:szCs w:val="20"/>
        </w:rPr>
        <w:t>:</w:t>
      </w:r>
      <w:bookmarkEnd w:id="16"/>
    </w:p>
    <w:p w14:paraId="50903296" w14:textId="5A74BBD3" w:rsidR="007D1E76" w:rsidRPr="00FD6088" w:rsidRDefault="00C4625D" w:rsidP="00CB41C4">
      <w:pPr>
        <w:tabs>
          <w:tab w:val="left" w:leader="underscore" w:pos="9639"/>
        </w:tabs>
        <w:spacing w:after="0" w:line="240" w:lineRule="auto"/>
        <w:jc w:val="both"/>
        <w:rPr>
          <w:rFonts w:cs="Calibri"/>
          <w:sz w:val="20"/>
          <w:szCs w:val="20"/>
        </w:rPr>
      </w:pPr>
      <w:r w:rsidRPr="00FD6088">
        <w:rPr>
          <w:rFonts w:cs="Calibri"/>
          <w:sz w:val="20"/>
          <w:szCs w:val="20"/>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FD6088">
        <w:rPr>
          <w:rFonts w:cs="Calibri"/>
          <w:sz w:val="20"/>
          <w:szCs w:val="20"/>
        </w:rPr>
        <w:t>.</w:t>
      </w:r>
    </w:p>
    <w:p w14:paraId="097939D2" w14:textId="251AB0E9" w:rsidR="00D5018E" w:rsidRPr="00FD6088" w:rsidRDefault="00D5018E" w:rsidP="00101390">
      <w:pPr>
        <w:tabs>
          <w:tab w:val="left" w:leader="underscore" w:pos="9639"/>
        </w:tabs>
        <w:spacing w:after="0" w:line="240" w:lineRule="atLeast"/>
        <w:jc w:val="both"/>
        <w:rPr>
          <w:rFonts w:asciiTheme="minorHAnsi" w:hAnsiTheme="minorHAnsi" w:cstheme="minorHAnsi"/>
          <w:sz w:val="20"/>
          <w:szCs w:val="20"/>
        </w:rPr>
      </w:pPr>
      <w:r w:rsidRPr="00FD6088">
        <w:rPr>
          <w:rFonts w:asciiTheme="minorHAnsi" w:hAnsiTheme="minorHAnsi" w:cstheme="minorHAnsi"/>
          <w:b/>
          <w:sz w:val="20"/>
          <w:szCs w:val="20"/>
        </w:rPr>
        <w:t>Nota 1</w:t>
      </w:r>
      <w:r w:rsidRPr="00FD6088">
        <w:rPr>
          <w:rFonts w:asciiTheme="minorHAnsi" w:hAnsiTheme="minorHAnsi" w:cstheme="minorHAnsi"/>
          <w:sz w:val="20"/>
          <w:szCs w:val="20"/>
        </w:rPr>
        <w:t>: En cada una de las 1</w:t>
      </w:r>
      <w:r w:rsidR="005053EE" w:rsidRPr="00FD6088">
        <w:rPr>
          <w:rFonts w:asciiTheme="minorHAnsi" w:hAnsiTheme="minorHAnsi" w:cstheme="minorHAnsi"/>
          <w:sz w:val="20"/>
          <w:szCs w:val="20"/>
        </w:rPr>
        <w:t>5</w:t>
      </w:r>
      <w:r w:rsidRPr="00FD6088">
        <w:rPr>
          <w:rFonts w:asciiTheme="minorHAnsi" w:hAnsiTheme="minorHAnsi" w:cstheme="minorHAnsi"/>
          <w:sz w:val="20"/>
          <w:szCs w:val="20"/>
        </w:rPr>
        <w:t xml:space="preserve"> notas de gestión administrativa el ente público deberá poner la nota correspondiente o en su caso la leyenda “</w:t>
      </w:r>
      <w:r w:rsidRPr="00FD6088">
        <w:rPr>
          <w:rFonts w:asciiTheme="minorHAnsi" w:hAnsiTheme="minorHAnsi" w:cstheme="minorHAnsi"/>
          <w:b/>
          <w:bCs/>
          <w:sz w:val="20"/>
          <w:szCs w:val="20"/>
        </w:rPr>
        <w:t>Esta nota no le aplica al ente público” y una breve explicación del motivo por el cual no le es aplicable</w:t>
      </w:r>
      <w:r w:rsidRPr="00FD6088">
        <w:rPr>
          <w:rFonts w:asciiTheme="minorHAnsi" w:hAnsiTheme="minorHAnsi" w:cstheme="minorHAnsi"/>
          <w:sz w:val="20"/>
          <w:szCs w:val="20"/>
        </w:rPr>
        <w:t>.</w:t>
      </w:r>
      <w:r w:rsidR="000310EF" w:rsidRPr="00FD6088">
        <w:rPr>
          <w:rFonts w:asciiTheme="minorHAnsi" w:hAnsiTheme="minorHAnsi" w:cstheme="minorHAnsi"/>
          <w:sz w:val="20"/>
          <w:szCs w:val="20"/>
        </w:rPr>
        <w:t xml:space="preserve"> 06-12-2022</w:t>
      </w:r>
    </w:p>
    <w:p w14:paraId="0AABDD06" w14:textId="77777777" w:rsidR="00D5018E" w:rsidRPr="0012405A" w:rsidRDefault="00D5018E" w:rsidP="00101390">
      <w:pPr>
        <w:pBdr>
          <w:bottom w:val="single" w:sz="12" w:space="1" w:color="auto"/>
        </w:pBdr>
        <w:tabs>
          <w:tab w:val="left" w:leader="underscore" w:pos="9639"/>
        </w:tabs>
        <w:spacing w:after="0" w:line="240" w:lineRule="atLeast"/>
        <w:jc w:val="both"/>
        <w:rPr>
          <w:rFonts w:cs="Calibri"/>
        </w:rPr>
      </w:pPr>
    </w:p>
    <w:p w14:paraId="74D16815" w14:textId="53D5257D" w:rsidR="00D5018E" w:rsidRPr="00046FAF" w:rsidRDefault="00046FAF" w:rsidP="00101390">
      <w:pPr>
        <w:tabs>
          <w:tab w:val="left" w:leader="underscore" w:pos="9639"/>
        </w:tabs>
        <w:spacing w:after="0" w:line="240" w:lineRule="atLeast"/>
        <w:jc w:val="both"/>
        <w:rPr>
          <w:rFonts w:cs="Calibri"/>
          <w:sz w:val="18"/>
          <w:szCs w:val="18"/>
        </w:rPr>
      </w:pPr>
      <w:r w:rsidRPr="00046FAF">
        <w:rPr>
          <w:rFonts w:cs="Calibri"/>
          <w:sz w:val="18"/>
          <w:szCs w:val="18"/>
        </w:rPr>
        <w:t>Bajo protesta de decir verdad declaramos que los Estados Financieros y sus notas, son razonablemente correctos y son responsabilidad del emisor.</w:t>
      </w:r>
    </w:p>
    <w:p w14:paraId="30F9B92F" w14:textId="77777777" w:rsidR="00101390" w:rsidRDefault="00101390" w:rsidP="00101390">
      <w:pPr>
        <w:tabs>
          <w:tab w:val="left" w:leader="underscore" w:pos="9639"/>
        </w:tabs>
        <w:spacing w:after="0" w:line="240" w:lineRule="atLeast"/>
        <w:jc w:val="both"/>
        <w:rPr>
          <w:rFonts w:cs="Calibri"/>
        </w:rPr>
      </w:pPr>
    </w:p>
    <w:p w14:paraId="3EAC6EE3" w14:textId="77777777" w:rsidR="00101390" w:rsidRDefault="00101390" w:rsidP="00101390">
      <w:pPr>
        <w:tabs>
          <w:tab w:val="left" w:leader="underscore" w:pos="9639"/>
        </w:tabs>
        <w:spacing w:after="0" w:line="240" w:lineRule="atLeast"/>
        <w:jc w:val="both"/>
        <w:rPr>
          <w:rFonts w:cs="Calibri"/>
        </w:rPr>
      </w:pPr>
    </w:p>
    <w:p w14:paraId="415A079F" w14:textId="77777777" w:rsidR="00FD6088" w:rsidRDefault="00FD6088" w:rsidP="00101390">
      <w:pPr>
        <w:tabs>
          <w:tab w:val="left" w:leader="underscore" w:pos="9639"/>
        </w:tabs>
        <w:spacing w:after="0" w:line="240" w:lineRule="atLeast"/>
        <w:jc w:val="both"/>
        <w:rPr>
          <w:rFonts w:cs="Calibri"/>
        </w:rPr>
      </w:pPr>
    </w:p>
    <w:p w14:paraId="35E3414B" w14:textId="77777777" w:rsidR="00FD6088" w:rsidRDefault="00FD6088" w:rsidP="00101390">
      <w:pPr>
        <w:tabs>
          <w:tab w:val="left" w:leader="underscore" w:pos="9639"/>
        </w:tabs>
        <w:spacing w:after="0" w:line="240" w:lineRule="atLeast"/>
        <w:jc w:val="both"/>
        <w:rPr>
          <w:rFonts w:cs="Calibri"/>
        </w:rPr>
      </w:pPr>
    </w:p>
    <w:p w14:paraId="1504064B" w14:textId="77777777" w:rsidR="00694D93" w:rsidRPr="00022A6E" w:rsidRDefault="00694D93" w:rsidP="00694D93">
      <w:pPr>
        <w:spacing w:after="0" w:line="240" w:lineRule="auto"/>
        <w:jc w:val="both"/>
        <w:rPr>
          <w:rFonts w:cs="Calibri"/>
          <w:sz w:val="20"/>
          <w:szCs w:val="20"/>
        </w:rPr>
      </w:pPr>
    </w:p>
    <w:p w14:paraId="75A0D364" w14:textId="3E06C69E" w:rsidR="00694D93" w:rsidRPr="00022A6E" w:rsidRDefault="00694D93" w:rsidP="00101390">
      <w:pPr>
        <w:spacing w:after="0" w:line="240" w:lineRule="atLeast"/>
        <w:jc w:val="both"/>
        <w:rPr>
          <w:rFonts w:cs="Calibri"/>
          <w:sz w:val="20"/>
          <w:szCs w:val="20"/>
        </w:rPr>
      </w:pPr>
      <w:r w:rsidRPr="00022A6E">
        <w:rPr>
          <w:rFonts w:cs="Calibri"/>
          <w:noProof/>
          <w:sz w:val="20"/>
          <w:szCs w:val="20"/>
          <w:lang w:eastAsia="es-MX"/>
        </w:rPr>
        <mc:AlternateContent>
          <mc:Choice Requires="wps">
            <w:drawing>
              <wp:anchor distT="0" distB="0" distL="114300" distR="114300" simplePos="0" relativeHeight="251660288" behindDoc="0" locked="0" layoutInCell="1" allowOverlap="1" wp14:anchorId="5912BEFE" wp14:editId="09281375">
                <wp:simplePos x="0" y="0"/>
                <wp:positionH relativeFrom="column">
                  <wp:posOffset>4439261</wp:posOffset>
                </wp:positionH>
                <wp:positionV relativeFrom="paragraph">
                  <wp:posOffset>152509</wp:posOffset>
                </wp:positionV>
                <wp:extent cx="2188845" cy="0"/>
                <wp:effectExtent l="13970" t="8890" r="6985" b="10160"/>
                <wp:wrapNone/>
                <wp:docPr id="3" name="Conector recto de flech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88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48C8FB" id="_x0000_t32" coordsize="21600,21600" o:spt="32" o:oned="t" path="m,l21600,21600e" filled="f">
                <v:path arrowok="t" fillok="f" o:connecttype="none"/>
                <o:lock v:ext="edit" shapetype="t"/>
              </v:shapetype>
              <v:shape id="Conector recto de flecha 3" o:spid="_x0000_s1026" type="#_x0000_t32" style="position:absolute;margin-left:349.55pt;margin-top:12pt;width:172.3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"/>
            </w:pict>
          </mc:Fallback>
        </mc:AlternateContent>
      </w:r>
      <w:r w:rsidRPr="00022A6E">
        <w:rPr>
          <w:rFonts w:cs="Calibri"/>
          <w:noProof/>
          <w:sz w:val="20"/>
          <w:szCs w:val="20"/>
          <w:lang w:eastAsia="es-MX"/>
        </w:rPr>
        <mc:AlternateContent>
          <mc:Choice Requires="wps">
            <w:drawing>
              <wp:anchor distT="0" distB="0" distL="114300" distR="114300" simplePos="0" relativeHeight="251659264" behindDoc="0" locked="0" layoutInCell="1" allowOverlap="1" wp14:anchorId="3F35FBA7" wp14:editId="573C790A">
                <wp:simplePos x="0" y="0"/>
                <wp:positionH relativeFrom="column">
                  <wp:posOffset>18470</wp:posOffset>
                </wp:positionH>
                <wp:positionV relativeFrom="paragraph">
                  <wp:posOffset>137491</wp:posOffset>
                </wp:positionV>
                <wp:extent cx="1790065" cy="0"/>
                <wp:effectExtent l="13335" t="5715" r="6350" b="13335"/>
                <wp:wrapNone/>
                <wp:docPr id="2" name="Conector recto de flech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00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444856" id="Conector recto de flecha 2" o:spid="_x0000_s1026" type="#_x0000_t32" style="position:absolute;margin-left:1.45pt;margin-top:10.85pt;width:140.9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"/>
            </w:pict>
          </mc:Fallback>
        </mc:AlternateContent>
      </w:r>
      <w:bookmarkStart w:id="17" w:name="_Hlk69283371"/>
      <w:r w:rsidR="00DF66DF">
        <w:rPr>
          <w:rFonts w:cs="Calibri"/>
          <w:sz w:val="20"/>
          <w:szCs w:val="20"/>
        </w:rPr>
        <w:t xml:space="preserve"> </w:t>
      </w:r>
      <w:r>
        <w:rPr>
          <w:rFonts w:cs="Calibri"/>
          <w:sz w:val="20"/>
          <w:szCs w:val="20"/>
        </w:rPr>
        <w:t xml:space="preserve">  CP. Ramiro Contreras Rodríguez</w:t>
      </w:r>
      <w:r w:rsidRPr="00022A6E">
        <w:rPr>
          <w:rFonts w:cs="Calibri"/>
          <w:sz w:val="20"/>
          <w:szCs w:val="20"/>
        </w:rPr>
        <w:t xml:space="preserve">                                              </w:t>
      </w:r>
      <w:r w:rsidR="00F34B46">
        <w:rPr>
          <w:rFonts w:cs="Calibri"/>
          <w:sz w:val="20"/>
          <w:szCs w:val="20"/>
        </w:rPr>
        <w:t xml:space="preserve">                   </w:t>
      </w:r>
      <w:r w:rsidRPr="00022A6E">
        <w:rPr>
          <w:rFonts w:cs="Calibri"/>
          <w:sz w:val="20"/>
          <w:szCs w:val="20"/>
        </w:rPr>
        <w:t xml:space="preserve">       </w:t>
      </w:r>
      <w:r w:rsidR="00FD6088">
        <w:rPr>
          <w:rFonts w:cs="Calibri"/>
          <w:sz w:val="20"/>
          <w:szCs w:val="20"/>
        </w:rPr>
        <w:t xml:space="preserve">               </w:t>
      </w:r>
      <w:r w:rsidRPr="00022A6E">
        <w:rPr>
          <w:rFonts w:cs="Calibri"/>
          <w:sz w:val="20"/>
          <w:szCs w:val="20"/>
        </w:rPr>
        <w:t xml:space="preserve"> </w:t>
      </w:r>
      <w:r>
        <w:rPr>
          <w:rFonts w:cs="Calibri"/>
          <w:sz w:val="20"/>
          <w:szCs w:val="20"/>
        </w:rPr>
        <w:t xml:space="preserve">         </w:t>
      </w:r>
      <w:r w:rsidR="00FD6088">
        <w:rPr>
          <w:rFonts w:cs="Calibri"/>
          <w:sz w:val="20"/>
          <w:szCs w:val="20"/>
        </w:rPr>
        <w:t xml:space="preserve">       </w:t>
      </w:r>
      <w:r>
        <w:rPr>
          <w:rFonts w:cs="Calibri"/>
          <w:sz w:val="20"/>
          <w:szCs w:val="20"/>
        </w:rPr>
        <w:t xml:space="preserve">DR. José Luis Ramírez </w:t>
      </w:r>
      <w:proofErr w:type="spellStart"/>
      <w:r>
        <w:rPr>
          <w:rFonts w:cs="Calibri"/>
          <w:sz w:val="20"/>
          <w:szCs w:val="20"/>
        </w:rPr>
        <w:t>Ramírez</w:t>
      </w:r>
      <w:proofErr w:type="spellEnd"/>
    </w:p>
    <w:p w14:paraId="12E6B58A" w14:textId="77923FAA" w:rsidR="00694D93" w:rsidRPr="00E74967" w:rsidRDefault="00694D93" w:rsidP="00101390">
      <w:pPr>
        <w:spacing w:after="0" w:line="240" w:lineRule="atLeast"/>
        <w:jc w:val="both"/>
        <w:rPr>
          <w:rFonts w:cs="Calibri"/>
        </w:rPr>
      </w:pPr>
      <w:r w:rsidRPr="00022A6E">
        <w:rPr>
          <w:rFonts w:cs="Calibri"/>
          <w:sz w:val="20"/>
          <w:szCs w:val="20"/>
        </w:rPr>
        <w:t>Subdirector de Administración y Finanzas</w:t>
      </w:r>
      <w:r>
        <w:rPr>
          <w:rFonts w:cs="Calibri"/>
          <w:sz w:val="20"/>
          <w:szCs w:val="20"/>
        </w:rPr>
        <w:t xml:space="preserve">                                                </w:t>
      </w:r>
      <w:r w:rsidR="00F34B46">
        <w:rPr>
          <w:rFonts w:cs="Calibri"/>
          <w:sz w:val="20"/>
          <w:szCs w:val="20"/>
        </w:rPr>
        <w:t xml:space="preserve">                </w:t>
      </w:r>
      <w:r w:rsidR="00FD6088">
        <w:rPr>
          <w:rFonts w:cs="Calibri"/>
          <w:sz w:val="20"/>
          <w:szCs w:val="20"/>
        </w:rPr>
        <w:t xml:space="preserve">                           </w:t>
      </w:r>
      <w:r w:rsidR="00F34B46">
        <w:rPr>
          <w:rFonts w:cs="Calibri"/>
          <w:sz w:val="20"/>
          <w:szCs w:val="20"/>
        </w:rPr>
        <w:t xml:space="preserve">   </w:t>
      </w:r>
      <w:r>
        <w:rPr>
          <w:rFonts w:cs="Calibri"/>
          <w:sz w:val="20"/>
          <w:szCs w:val="20"/>
        </w:rPr>
        <w:t xml:space="preserve"> Director General</w:t>
      </w:r>
      <w:bookmarkEnd w:id="17"/>
    </w:p>
    <w:sectPr w:rsidR="00694D93" w:rsidRPr="00E74967" w:rsidSect="00C2703F">
      <w:headerReference w:type="default" r:id="rId14"/>
      <w:footerReference w:type="default" r:id="rId15"/>
      <w:pgSz w:w="15840" w:h="12240" w:orient="landscape" w:code="1"/>
      <w:pgMar w:top="142" w:right="720" w:bottom="284" w:left="720"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1BE331" w14:textId="77777777" w:rsidR="00C928A1" w:rsidRDefault="00C928A1" w:rsidP="00E00323">
      <w:pPr>
        <w:spacing w:after="0" w:line="240" w:lineRule="auto"/>
      </w:pPr>
      <w:r>
        <w:separator/>
      </w:r>
    </w:p>
  </w:endnote>
  <w:endnote w:type="continuationSeparator" w:id="0">
    <w:p w14:paraId="70EEF730" w14:textId="77777777" w:rsidR="00C928A1" w:rsidRDefault="00C928A1"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libri">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2122257"/>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5E0EF3" w:rsidRPr="005E0EF3">
          <w:rPr>
            <w:noProof/>
            <w:lang w:val="es-ES"/>
          </w:rPr>
          <w:t>8</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939750" w14:textId="77777777" w:rsidR="00C928A1" w:rsidRDefault="00C928A1" w:rsidP="00E00323">
      <w:pPr>
        <w:spacing w:after="0" w:line="240" w:lineRule="auto"/>
      </w:pPr>
      <w:r>
        <w:separator/>
      </w:r>
    </w:p>
  </w:footnote>
  <w:footnote w:type="continuationSeparator" w:id="0">
    <w:p w14:paraId="635819EE" w14:textId="77777777" w:rsidR="00C928A1" w:rsidRDefault="00C928A1" w:rsidP="00E003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2B85D1" w14:textId="77777777" w:rsidR="00E4341B" w:rsidRDefault="00E4341B" w:rsidP="00E4341B">
    <w:pPr>
      <w:pStyle w:val="Encabezado"/>
      <w:spacing w:after="0" w:line="240" w:lineRule="auto"/>
      <w:jc w:val="center"/>
    </w:pPr>
    <w:r>
      <w:t>INSTITUTO TECNOLOGICO SUPERIOR DE SALVATIERRA</w:t>
    </w:r>
  </w:p>
  <w:p w14:paraId="651A4C4F" w14:textId="3574D1AA" w:rsidR="00A4610E" w:rsidRPr="00E4341B" w:rsidRDefault="00E4341B" w:rsidP="00C2703F">
    <w:pPr>
      <w:pStyle w:val="Encabezado"/>
      <w:spacing w:after="0" w:line="240" w:lineRule="auto"/>
      <w:jc w:val="center"/>
    </w:pPr>
    <w:r>
      <w:t xml:space="preserve">CORRESPONDINTES AL </w:t>
    </w:r>
    <w:r w:rsidR="00046FAF">
      <w:t>31</w:t>
    </w:r>
    <w:r w:rsidR="00C2703F">
      <w:t xml:space="preserve"> DE MARZO DE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1553B"/>
    <w:rsid w:val="000310EF"/>
    <w:rsid w:val="00040D4F"/>
    <w:rsid w:val="00046FAF"/>
    <w:rsid w:val="00084EAE"/>
    <w:rsid w:val="00091CE6"/>
    <w:rsid w:val="000B7810"/>
    <w:rsid w:val="000C3365"/>
    <w:rsid w:val="000C6836"/>
    <w:rsid w:val="00101390"/>
    <w:rsid w:val="00106EE9"/>
    <w:rsid w:val="0012405A"/>
    <w:rsid w:val="0012493A"/>
    <w:rsid w:val="00154BA3"/>
    <w:rsid w:val="00174416"/>
    <w:rsid w:val="001973A2"/>
    <w:rsid w:val="001C34BC"/>
    <w:rsid w:val="001C710C"/>
    <w:rsid w:val="001C75F2"/>
    <w:rsid w:val="001D2063"/>
    <w:rsid w:val="001D43E9"/>
    <w:rsid w:val="00224F98"/>
    <w:rsid w:val="00231FBE"/>
    <w:rsid w:val="00232175"/>
    <w:rsid w:val="0024740E"/>
    <w:rsid w:val="002722DD"/>
    <w:rsid w:val="002845E1"/>
    <w:rsid w:val="00295B72"/>
    <w:rsid w:val="002C54AC"/>
    <w:rsid w:val="00317483"/>
    <w:rsid w:val="003453CA"/>
    <w:rsid w:val="00396D53"/>
    <w:rsid w:val="003D14FC"/>
    <w:rsid w:val="003E6C64"/>
    <w:rsid w:val="0043078C"/>
    <w:rsid w:val="00435A87"/>
    <w:rsid w:val="004843FA"/>
    <w:rsid w:val="004A1077"/>
    <w:rsid w:val="004A1E9C"/>
    <w:rsid w:val="004A4165"/>
    <w:rsid w:val="004A58C8"/>
    <w:rsid w:val="004C4770"/>
    <w:rsid w:val="004F234D"/>
    <w:rsid w:val="004F44F3"/>
    <w:rsid w:val="004F6FAC"/>
    <w:rsid w:val="005053EE"/>
    <w:rsid w:val="00516100"/>
    <w:rsid w:val="00516A8F"/>
    <w:rsid w:val="00526C3A"/>
    <w:rsid w:val="00540261"/>
    <w:rsid w:val="0054701E"/>
    <w:rsid w:val="00552AA4"/>
    <w:rsid w:val="0059164F"/>
    <w:rsid w:val="005B5531"/>
    <w:rsid w:val="005D3E43"/>
    <w:rsid w:val="005E0EF3"/>
    <w:rsid w:val="005E231E"/>
    <w:rsid w:val="005F2900"/>
    <w:rsid w:val="005F51CC"/>
    <w:rsid w:val="0064059E"/>
    <w:rsid w:val="00657009"/>
    <w:rsid w:val="0067352C"/>
    <w:rsid w:val="00680368"/>
    <w:rsid w:val="00681C79"/>
    <w:rsid w:val="00694D93"/>
    <w:rsid w:val="006B1ADF"/>
    <w:rsid w:val="006D40BF"/>
    <w:rsid w:val="006D5F8C"/>
    <w:rsid w:val="006F0687"/>
    <w:rsid w:val="006F77A8"/>
    <w:rsid w:val="007610BC"/>
    <w:rsid w:val="00767813"/>
    <w:rsid w:val="007714AB"/>
    <w:rsid w:val="007C5700"/>
    <w:rsid w:val="007D1E76"/>
    <w:rsid w:val="007D4484"/>
    <w:rsid w:val="007E38A2"/>
    <w:rsid w:val="007F5E45"/>
    <w:rsid w:val="007F699D"/>
    <w:rsid w:val="00806269"/>
    <w:rsid w:val="0086420E"/>
    <w:rsid w:val="0086459F"/>
    <w:rsid w:val="008657D3"/>
    <w:rsid w:val="00897D33"/>
    <w:rsid w:val="008C3BB8"/>
    <w:rsid w:val="008E076C"/>
    <w:rsid w:val="0092765C"/>
    <w:rsid w:val="00967DDA"/>
    <w:rsid w:val="009736CB"/>
    <w:rsid w:val="009B568E"/>
    <w:rsid w:val="009F5A4F"/>
    <w:rsid w:val="00A0396A"/>
    <w:rsid w:val="00A4610E"/>
    <w:rsid w:val="00A6346D"/>
    <w:rsid w:val="00A730E0"/>
    <w:rsid w:val="00AA2768"/>
    <w:rsid w:val="00AA41E5"/>
    <w:rsid w:val="00AB722B"/>
    <w:rsid w:val="00AC22BA"/>
    <w:rsid w:val="00AD6D9C"/>
    <w:rsid w:val="00AE1F6A"/>
    <w:rsid w:val="00AF4375"/>
    <w:rsid w:val="00B053C2"/>
    <w:rsid w:val="00B073DE"/>
    <w:rsid w:val="00B353C2"/>
    <w:rsid w:val="00B6368B"/>
    <w:rsid w:val="00BA1680"/>
    <w:rsid w:val="00BA53FE"/>
    <w:rsid w:val="00BC53FA"/>
    <w:rsid w:val="00BD7174"/>
    <w:rsid w:val="00BE02EB"/>
    <w:rsid w:val="00BE55EA"/>
    <w:rsid w:val="00C2703F"/>
    <w:rsid w:val="00C4250B"/>
    <w:rsid w:val="00C4625D"/>
    <w:rsid w:val="00C54C12"/>
    <w:rsid w:val="00C70B74"/>
    <w:rsid w:val="00C928A1"/>
    <w:rsid w:val="00C93C67"/>
    <w:rsid w:val="00C97E1E"/>
    <w:rsid w:val="00CB41C4"/>
    <w:rsid w:val="00CB7C52"/>
    <w:rsid w:val="00CF1316"/>
    <w:rsid w:val="00D13C44"/>
    <w:rsid w:val="00D32331"/>
    <w:rsid w:val="00D33BBA"/>
    <w:rsid w:val="00D40FC2"/>
    <w:rsid w:val="00D5018E"/>
    <w:rsid w:val="00D546B2"/>
    <w:rsid w:val="00D975B1"/>
    <w:rsid w:val="00DA6F1E"/>
    <w:rsid w:val="00DD018C"/>
    <w:rsid w:val="00DF66DF"/>
    <w:rsid w:val="00E00323"/>
    <w:rsid w:val="00E11758"/>
    <w:rsid w:val="00E4341B"/>
    <w:rsid w:val="00E73A45"/>
    <w:rsid w:val="00E74967"/>
    <w:rsid w:val="00E7559F"/>
    <w:rsid w:val="00E85520"/>
    <w:rsid w:val="00E9132F"/>
    <w:rsid w:val="00EA37F5"/>
    <w:rsid w:val="00EA5066"/>
    <w:rsid w:val="00EA7915"/>
    <w:rsid w:val="00ED37D1"/>
    <w:rsid w:val="00ED7AA0"/>
    <w:rsid w:val="00F067C8"/>
    <w:rsid w:val="00F34B46"/>
    <w:rsid w:val="00F43AC5"/>
    <w:rsid w:val="00F46719"/>
    <w:rsid w:val="00F54F6F"/>
    <w:rsid w:val="00F6102D"/>
    <w:rsid w:val="00F65A92"/>
    <w:rsid w:val="00F6759B"/>
    <w:rsid w:val="00FC1AE8"/>
    <w:rsid w:val="00FD608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Puesto">
    <w:name w:val="Title"/>
    <w:basedOn w:val="Normal"/>
    <w:next w:val="Normal"/>
    <w:link w:val="Puest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de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tmp"/><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4.xml><?xml version="1.0" encoding="utf-8"?>
<ds:datastoreItem xmlns:ds="http://schemas.openxmlformats.org/officeDocument/2006/customXml" ds:itemID="{266E6608-0677-4426-AC82-26EF26729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2793</Words>
  <Characters>15365</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18122</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Cuenta Microsoft</cp:lastModifiedBy>
  <cp:revision>3</cp:revision>
  <cp:lastPrinted>2026-01-27T19:47:00Z</cp:lastPrinted>
  <dcterms:created xsi:type="dcterms:W3CDTF">2026-04-21T22:23:00Z</dcterms:created>
  <dcterms:modified xsi:type="dcterms:W3CDTF">2026-04-21T22:30:00Z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